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793885" w14:textId="77777777" w:rsidR="00EF4E75" w:rsidRDefault="00EF4E75">
      <w:pPr>
        <w:widowControl w:val="0"/>
        <w:pBdr>
          <w:top w:val="nil"/>
          <w:left w:val="nil"/>
          <w:bottom w:val="nil"/>
          <w:right w:val="nil"/>
          <w:between w:val="nil"/>
        </w:pBdr>
        <w:spacing w:line="360" w:lineRule="auto"/>
        <w:jc w:val="center"/>
        <w:rPr>
          <w:rFonts w:ascii="Times New Roman" w:eastAsia="Times New Roman" w:hAnsi="Times New Roman" w:cs="Times New Roman"/>
          <w:b/>
          <w:sz w:val="24"/>
          <w:szCs w:val="24"/>
        </w:rPr>
      </w:pPr>
    </w:p>
    <w:p w14:paraId="1479F680" w14:textId="77777777" w:rsidR="00EF4E75" w:rsidRDefault="00000000">
      <w:pPr>
        <w:widowControl w:val="0"/>
        <w:pBdr>
          <w:top w:val="nil"/>
          <w:left w:val="nil"/>
          <w:bottom w:val="nil"/>
          <w:right w:val="nil"/>
          <w:between w:val="nil"/>
        </w:pBdr>
        <w:spacing w:line="360" w:lineRule="auto"/>
        <w:jc w:val="center"/>
        <w:rPr>
          <w:rFonts w:ascii="Times New Roman" w:eastAsia="Times New Roman" w:hAnsi="Times New Roman" w:cs="Times New Roman"/>
          <w:b/>
          <w:i/>
          <w:color w:val="000000"/>
          <w:sz w:val="24"/>
          <w:szCs w:val="24"/>
        </w:rPr>
      </w:pPr>
      <w:r>
        <w:rPr>
          <w:rFonts w:ascii="Times New Roman" w:eastAsia="Times New Roman" w:hAnsi="Times New Roman" w:cs="Times New Roman"/>
          <w:b/>
          <w:sz w:val="24"/>
          <w:szCs w:val="24"/>
          <w:highlight w:val="white"/>
        </w:rPr>
        <w:t>RESPONSABILIDAD SOCIAL EMPRESARIAL CON PERSPECTIVA DE GÉNERO: UNA MIRADA DESDE EMPRESAS CON SELLO EQUIPARES EN COLOMBIA</w:t>
      </w:r>
    </w:p>
    <w:p w14:paraId="25F2381C" w14:textId="77777777" w:rsidR="00EF4E75" w:rsidRDefault="00000000">
      <w:pPr>
        <w:widowControl w:val="0"/>
        <w:pBdr>
          <w:top w:val="nil"/>
          <w:left w:val="nil"/>
          <w:bottom w:val="nil"/>
          <w:right w:val="nil"/>
          <w:between w:val="nil"/>
        </w:pBdr>
        <w:spacing w:line="360" w:lineRule="auto"/>
        <w:jc w:val="right"/>
        <w:rPr>
          <w:rFonts w:ascii="Times New Roman" w:eastAsia="Times New Roman" w:hAnsi="Times New Roman" w:cs="Times New Roman"/>
          <w:b/>
          <w:i/>
          <w:color w:val="000000"/>
          <w:sz w:val="24"/>
          <w:szCs w:val="24"/>
        </w:rPr>
      </w:pPr>
      <w:proofErr w:type="spellStart"/>
      <w:r>
        <w:rPr>
          <w:rFonts w:ascii="Times New Roman" w:eastAsia="Times New Roman" w:hAnsi="Times New Roman" w:cs="Times New Roman"/>
          <w:b/>
          <w:i/>
          <w:color w:val="000000"/>
          <w:sz w:val="24"/>
          <w:szCs w:val="24"/>
        </w:rPr>
        <w:t>Yurelys</w:t>
      </w:r>
      <w:proofErr w:type="spellEnd"/>
      <w:r>
        <w:rPr>
          <w:rFonts w:ascii="Times New Roman" w:eastAsia="Times New Roman" w:hAnsi="Times New Roman" w:cs="Times New Roman"/>
          <w:b/>
          <w:i/>
          <w:color w:val="000000"/>
          <w:sz w:val="24"/>
          <w:szCs w:val="24"/>
        </w:rPr>
        <w:t xml:space="preserve"> Cuello Medina</w:t>
      </w:r>
      <w:r>
        <w:rPr>
          <w:rFonts w:ascii="Times New Roman" w:eastAsia="Times New Roman" w:hAnsi="Times New Roman" w:cs="Times New Roman"/>
          <w:b/>
          <w:i/>
          <w:color w:val="000000"/>
          <w:sz w:val="24"/>
          <w:szCs w:val="24"/>
          <w:vertAlign w:val="superscript"/>
        </w:rPr>
        <w:footnoteReference w:id="1"/>
      </w:r>
    </w:p>
    <w:p w14:paraId="585F5912" w14:textId="77777777" w:rsidR="00EF4E75" w:rsidRDefault="00EF4E75">
      <w:pPr>
        <w:widowControl w:val="0"/>
        <w:spacing w:line="360" w:lineRule="auto"/>
        <w:rPr>
          <w:rFonts w:ascii="Times New Roman" w:eastAsia="Times New Roman" w:hAnsi="Times New Roman" w:cs="Times New Roman"/>
          <w:b/>
          <w:strike/>
          <w:sz w:val="24"/>
          <w:szCs w:val="24"/>
        </w:rPr>
      </w:pPr>
    </w:p>
    <w:p w14:paraId="5CE8EBA4" w14:textId="77777777" w:rsidR="00EF4E75" w:rsidRDefault="00000000">
      <w:pPr>
        <w:widowControl w:val="0"/>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RESUMEN</w:t>
      </w:r>
    </w:p>
    <w:p w14:paraId="6EA4E631" w14:textId="77777777" w:rsidR="00EF4E75" w:rsidRDefault="00000000">
      <w:pPr>
        <w:widowControl w:val="0"/>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 Sello Equipares es un programa de certificación de sistemas de gestión en igualdad de género que desde 2013 invita a empresas y organizaciones a trabajar por el cierre de brechas de género en el lugar de trabajo. En este artículo se analiza la Responsabilidad Social Empresarial bajo la perspectiva de equidad laboral en el ámbito empresarial colombiano; mediante un estudio de casos de las empresas colombianas que cuentan con el apoyo interinstitucional y han sido destacadas por su labor en búsqueda de la paridad. A través del método cualitativo mediante la herramienta de etnografía digital se obtuvo información que permitió establecer que Colombia ha realizado avances significativos en materia de paridad laboral de géneros mediante organizaciones multinacionales. Sin embargo, estos cambios deben extenderse a las empresas medianas y pequeñas que representan un 90% de las empresas colombianas. </w:t>
      </w:r>
    </w:p>
    <w:p w14:paraId="471FCA0E" w14:textId="77777777" w:rsidR="00EF4E75" w:rsidRDefault="00EF4E75">
      <w:pPr>
        <w:widowControl w:val="0"/>
        <w:spacing w:line="360" w:lineRule="auto"/>
        <w:jc w:val="both"/>
        <w:rPr>
          <w:rFonts w:ascii="Times New Roman" w:eastAsia="Times New Roman" w:hAnsi="Times New Roman" w:cs="Times New Roman"/>
          <w:sz w:val="24"/>
          <w:szCs w:val="24"/>
        </w:rPr>
      </w:pPr>
    </w:p>
    <w:p w14:paraId="2997566D" w14:textId="77777777" w:rsidR="00EF4E75" w:rsidRDefault="00000000">
      <w:pPr>
        <w:widowControl w:val="0"/>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Palabras clave: </w:t>
      </w:r>
      <w:r>
        <w:rPr>
          <w:rFonts w:ascii="Times New Roman" w:eastAsia="Times New Roman" w:hAnsi="Times New Roman" w:cs="Times New Roman"/>
          <w:sz w:val="24"/>
          <w:szCs w:val="24"/>
        </w:rPr>
        <w:t xml:space="preserve">Género, equidad, Responsabilidad Social Empresarial, Sello Equipares, visión organizacional. </w:t>
      </w:r>
    </w:p>
    <w:p w14:paraId="2DDB572F" w14:textId="77777777" w:rsidR="00EF4E75" w:rsidRDefault="00EF4E75">
      <w:pPr>
        <w:widowControl w:val="0"/>
        <w:spacing w:line="360" w:lineRule="auto"/>
        <w:rPr>
          <w:rFonts w:ascii="Times New Roman" w:eastAsia="Times New Roman" w:hAnsi="Times New Roman" w:cs="Times New Roman"/>
          <w:sz w:val="24"/>
          <w:szCs w:val="24"/>
        </w:rPr>
      </w:pPr>
    </w:p>
    <w:p w14:paraId="52AC79C5" w14:textId="77777777" w:rsidR="00EF4E75" w:rsidRDefault="00EF4E75">
      <w:pPr>
        <w:widowControl w:val="0"/>
        <w:spacing w:line="360" w:lineRule="auto"/>
        <w:rPr>
          <w:rFonts w:ascii="Times New Roman" w:eastAsia="Times New Roman" w:hAnsi="Times New Roman" w:cs="Times New Roman"/>
          <w:sz w:val="24"/>
          <w:szCs w:val="24"/>
        </w:rPr>
      </w:pPr>
    </w:p>
    <w:p w14:paraId="3DC85049" w14:textId="77777777" w:rsidR="00EF4E75" w:rsidRDefault="00EF4E75">
      <w:pPr>
        <w:widowControl w:val="0"/>
        <w:spacing w:line="360" w:lineRule="auto"/>
        <w:rPr>
          <w:rFonts w:ascii="Times New Roman" w:eastAsia="Times New Roman" w:hAnsi="Times New Roman" w:cs="Times New Roman"/>
          <w:sz w:val="24"/>
          <w:szCs w:val="24"/>
        </w:rPr>
      </w:pPr>
    </w:p>
    <w:p w14:paraId="48BCD291" w14:textId="77777777" w:rsidR="00EF4E75" w:rsidRDefault="00EF4E75">
      <w:pPr>
        <w:widowControl w:val="0"/>
        <w:spacing w:before="240" w:line="360" w:lineRule="auto"/>
        <w:jc w:val="center"/>
        <w:rPr>
          <w:rFonts w:ascii="Times New Roman" w:eastAsia="Times New Roman" w:hAnsi="Times New Roman" w:cs="Times New Roman"/>
          <w:b/>
          <w:sz w:val="24"/>
          <w:szCs w:val="24"/>
        </w:rPr>
      </w:pPr>
    </w:p>
    <w:p w14:paraId="0EE6DA8C" w14:textId="77777777" w:rsidR="00EF4E75" w:rsidRPr="00B34D9C" w:rsidRDefault="00000000">
      <w:pPr>
        <w:widowControl w:val="0"/>
        <w:spacing w:after="240" w:line="360" w:lineRule="auto"/>
        <w:jc w:val="center"/>
        <w:rPr>
          <w:rFonts w:ascii="Times New Roman" w:eastAsia="Times New Roman" w:hAnsi="Times New Roman" w:cs="Times New Roman"/>
          <w:b/>
          <w:sz w:val="24"/>
          <w:szCs w:val="24"/>
          <w:lang w:val="en-US"/>
        </w:rPr>
      </w:pPr>
      <w:r w:rsidRPr="00B34D9C">
        <w:rPr>
          <w:rFonts w:ascii="Times New Roman" w:eastAsia="Times New Roman" w:hAnsi="Times New Roman" w:cs="Times New Roman"/>
          <w:b/>
          <w:sz w:val="24"/>
          <w:szCs w:val="24"/>
          <w:lang w:val="en-US"/>
        </w:rPr>
        <w:t>CORPORATE SOCIAL RESPONSIBILITY WITH A GENDER PERSPECTIVE: A LOOK FROM COMPANIES WITH THE EQUIPARES SEAL IN COLOMBIA.</w:t>
      </w:r>
    </w:p>
    <w:p w14:paraId="495AE67B" w14:textId="77777777" w:rsidR="00EF4E75" w:rsidRPr="00B34D9C" w:rsidRDefault="00EF4E75">
      <w:pPr>
        <w:widowControl w:val="0"/>
        <w:spacing w:line="360" w:lineRule="auto"/>
        <w:jc w:val="center"/>
        <w:rPr>
          <w:rFonts w:ascii="Times New Roman" w:eastAsia="Times New Roman" w:hAnsi="Times New Roman" w:cs="Times New Roman"/>
          <w:b/>
          <w:sz w:val="24"/>
          <w:szCs w:val="24"/>
          <w:lang w:val="en-US"/>
        </w:rPr>
      </w:pPr>
    </w:p>
    <w:p w14:paraId="3F48CA4F" w14:textId="77777777" w:rsidR="00EF4E75" w:rsidRPr="00B34D9C" w:rsidRDefault="00000000">
      <w:pPr>
        <w:widowControl w:val="0"/>
        <w:spacing w:line="360" w:lineRule="auto"/>
        <w:rPr>
          <w:rFonts w:ascii="Times New Roman" w:eastAsia="Times New Roman" w:hAnsi="Times New Roman" w:cs="Times New Roman"/>
          <w:b/>
          <w:sz w:val="24"/>
          <w:szCs w:val="24"/>
          <w:lang w:val="en-US"/>
        </w:rPr>
      </w:pPr>
      <w:r w:rsidRPr="00B34D9C">
        <w:rPr>
          <w:rFonts w:ascii="Times New Roman" w:eastAsia="Times New Roman" w:hAnsi="Times New Roman" w:cs="Times New Roman"/>
          <w:b/>
          <w:sz w:val="24"/>
          <w:szCs w:val="24"/>
          <w:lang w:val="en-US"/>
        </w:rPr>
        <w:t>ABSTRACT</w:t>
      </w:r>
    </w:p>
    <w:p w14:paraId="6686196E" w14:textId="77777777" w:rsidR="00EF4E75" w:rsidRPr="00B34D9C" w:rsidRDefault="00000000">
      <w:pPr>
        <w:widowControl w:val="0"/>
        <w:spacing w:line="360" w:lineRule="auto"/>
        <w:jc w:val="both"/>
        <w:rPr>
          <w:rFonts w:ascii="Times New Roman" w:eastAsia="Times New Roman" w:hAnsi="Times New Roman" w:cs="Times New Roman"/>
          <w:sz w:val="24"/>
          <w:szCs w:val="24"/>
          <w:lang w:val="en-US"/>
        </w:rPr>
      </w:pPr>
      <w:r w:rsidRPr="00B34D9C">
        <w:rPr>
          <w:rFonts w:ascii="Times New Roman" w:eastAsia="Times New Roman" w:hAnsi="Times New Roman" w:cs="Times New Roman"/>
          <w:sz w:val="24"/>
          <w:szCs w:val="24"/>
          <w:lang w:val="en-US"/>
        </w:rPr>
        <w:t>The Equipares Seal is a certification program for gender equality management systems that since 2013 invites companies and organizations to work towards closing gender gaps in the workplace. This article analyzes Corporate Social Responsibility under the perspective of labor equity in the Colombian business environment; through a case study of Colombian companies that have inter-institutional support and have been highlighted for their work in search of parity. Through the qualitative method using the digital ethnography tool, information was obtained that allowed establishing that Colombia has made significant progress in terms of labor gender parity through multinational organizations; however, these changes should be extended to medium and small companies that represent 90% of Colombian companies.</w:t>
      </w:r>
    </w:p>
    <w:p w14:paraId="418A7DE8" w14:textId="77777777" w:rsidR="00EF4E75" w:rsidRPr="00B34D9C" w:rsidRDefault="00EF4E75">
      <w:pPr>
        <w:widowControl w:val="0"/>
        <w:spacing w:line="360" w:lineRule="auto"/>
        <w:rPr>
          <w:rFonts w:ascii="Times New Roman" w:eastAsia="Times New Roman" w:hAnsi="Times New Roman" w:cs="Times New Roman"/>
          <w:b/>
          <w:sz w:val="24"/>
          <w:szCs w:val="24"/>
          <w:lang w:val="en-US"/>
        </w:rPr>
      </w:pPr>
    </w:p>
    <w:p w14:paraId="790D0B2A" w14:textId="77777777" w:rsidR="00EF4E75" w:rsidRPr="00B34D9C" w:rsidRDefault="00000000">
      <w:pPr>
        <w:widowControl w:val="0"/>
        <w:spacing w:line="360" w:lineRule="auto"/>
        <w:jc w:val="both"/>
        <w:rPr>
          <w:rFonts w:ascii="Times New Roman" w:eastAsia="Times New Roman" w:hAnsi="Times New Roman" w:cs="Times New Roman"/>
          <w:sz w:val="24"/>
          <w:szCs w:val="24"/>
          <w:lang w:val="en-US"/>
        </w:rPr>
      </w:pPr>
      <w:r w:rsidRPr="00B34D9C">
        <w:rPr>
          <w:rFonts w:ascii="Times New Roman" w:eastAsia="Times New Roman" w:hAnsi="Times New Roman" w:cs="Times New Roman"/>
          <w:b/>
          <w:sz w:val="24"/>
          <w:szCs w:val="24"/>
          <w:lang w:val="en-US"/>
        </w:rPr>
        <w:t>KEYWORDS:</w:t>
      </w:r>
      <w:r w:rsidRPr="00B34D9C">
        <w:rPr>
          <w:rFonts w:ascii="Times New Roman" w:eastAsia="Times New Roman" w:hAnsi="Times New Roman" w:cs="Times New Roman"/>
          <w:sz w:val="24"/>
          <w:szCs w:val="24"/>
          <w:lang w:val="en-US"/>
        </w:rPr>
        <w:t xml:space="preserve"> Gender, equity, corporate social responsibility, Equipares Seal, organizational vision. </w:t>
      </w:r>
    </w:p>
    <w:p w14:paraId="04723AF4" w14:textId="77777777" w:rsidR="00EF4E75" w:rsidRPr="00B34D9C" w:rsidRDefault="00EF4E75">
      <w:pPr>
        <w:widowControl w:val="0"/>
        <w:spacing w:line="360" w:lineRule="auto"/>
        <w:rPr>
          <w:rFonts w:ascii="Times New Roman" w:eastAsia="Times New Roman" w:hAnsi="Times New Roman" w:cs="Times New Roman"/>
          <w:b/>
          <w:sz w:val="24"/>
          <w:szCs w:val="24"/>
          <w:lang w:val="en-US"/>
        </w:rPr>
      </w:pPr>
    </w:p>
    <w:p w14:paraId="2D4C5D50" w14:textId="77777777" w:rsidR="00EF4E75" w:rsidRPr="00B34D9C" w:rsidRDefault="00EF4E75">
      <w:pPr>
        <w:widowControl w:val="0"/>
        <w:spacing w:line="360" w:lineRule="auto"/>
        <w:rPr>
          <w:rFonts w:ascii="Times New Roman" w:eastAsia="Times New Roman" w:hAnsi="Times New Roman" w:cs="Times New Roman"/>
          <w:b/>
          <w:sz w:val="24"/>
          <w:szCs w:val="24"/>
          <w:lang w:val="en-US"/>
        </w:rPr>
      </w:pPr>
    </w:p>
    <w:p w14:paraId="65A48227" w14:textId="77777777" w:rsidR="00EF4E75" w:rsidRPr="00B34D9C" w:rsidRDefault="00EF4E75">
      <w:pPr>
        <w:widowControl w:val="0"/>
        <w:spacing w:line="360" w:lineRule="auto"/>
        <w:rPr>
          <w:rFonts w:ascii="Times New Roman" w:eastAsia="Times New Roman" w:hAnsi="Times New Roman" w:cs="Times New Roman"/>
          <w:b/>
          <w:sz w:val="24"/>
          <w:szCs w:val="24"/>
          <w:lang w:val="en-US"/>
        </w:rPr>
      </w:pPr>
    </w:p>
    <w:p w14:paraId="732205EE" w14:textId="77777777" w:rsidR="00EF4E75" w:rsidRPr="00B34D9C" w:rsidRDefault="00EF4E75">
      <w:pPr>
        <w:widowControl w:val="0"/>
        <w:spacing w:line="360" w:lineRule="auto"/>
        <w:rPr>
          <w:rFonts w:ascii="Times New Roman" w:eastAsia="Times New Roman" w:hAnsi="Times New Roman" w:cs="Times New Roman"/>
          <w:b/>
          <w:sz w:val="24"/>
          <w:szCs w:val="24"/>
          <w:lang w:val="en-US"/>
        </w:rPr>
      </w:pPr>
    </w:p>
    <w:p w14:paraId="7B4A6DA6" w14:textId="77777777" w:rsidR="00EF4E75" w:rsidRPr="00B34D9C" w:rsidRDefault="00EF4E75">
      <w:pPr>
        <w:widowControl w:val="0"/>
        <w:spacing w:line="360" w:lineRule="auto"/>
        <w:rPr>
          <w:rFonts w:ascii="Times New Roman" w:eastAsia="Times New Roman" w:hAnsi="Times New Roman" w:cs="Times New Roman"/>
          <w:b/>
          <w:sz w:val="24"/>
          <w:szCs w:val="24"/>
          <w:lang w:val="en-US"/>
        </w:rPr>
      </w:pPr>
    </w:p>
    <w:p w14:paraId="715D729C" w14:textId="77777777" w:rsidR="00EF4E75" w:rsidRPr="00B34D9C" w:rsidRDefault="00EF4E75">
      <w:pPr>
        <w:widowControl w:val="0"/>
        <w:spacing w:line="360" w:lineRule="auto"/>
        <w:rPr>
          <w:rFonts w:ascii="Times New Roman" w:eastAsia="Times New Roman" w:hAnsi="Times New Roman" w:cs="Times New Roman"/>
          <w:b/>
          <w:sz w:val="24"/>
          <w:szCs w:val="24"/>
          <w:lang w:val="en-US"/>
        </w:rPr>
      </w:pPr>
    </w:p>
    <w:p w14:paraId="2902CDDF" w14:textId="77777777" w:rsidR="00EF4E75" w:rsidRPr="00B34D9C" w:rsidRDefault="00EF4E75">
      <w:pPr>
        <w:widowControl w:val="0"/>
        <w:spacing w:line="360" w:lineRule="auto"/>
        <w:rPr>
          <w:rFonts w:ascii="Times New Roman" w:eastAsia="Times New Roman" w:hAnsi="Times New Roman" w:cs="Times New Roman"/>
          <w:b/>
          <w:sz w:val="24"/>
          <w:szCs w:val="24"/>
          <w:lang w:val="en-US"/>
        </w:rPr>
      </w:pPr>
    </w:p>
    <w:p w14:paraId="6BA0BFF2" w14:textId="77777777" w:rsidR="00EF4E75" w:rsidRPr="00B34D9C" w:rsidRDefault="00EF4E75">
      <w:pPr>
        <w:widowControl w:val="0"/>
        <w:spacing w:line="360" w:lineRule="auto"/>
        <w:rPr>
          <w:rFonts w:ascii="Times New Roman" w:eastAsia="Times New Roman" w:hAnsi="Times New Roman" w:cs="Times New Roman"/>
          <w:b/>
          <w:sz w:val="24"/>
          <w:szCs w:val="24"/>
          <w:lang w:val="en-US"/>
        </w:rPr>
      </w:pPr>
    </w:p>
    <w:p w14:paraId="10F0A240" w14:textId="77777777" w:rsidR="00EF4E75" w:rsidRPr="00B34D9C" w:rsidRDefault="00EF4E75">
      <w:pPr>
        <w:widowControl w:val="0"/>
        <w:spacing w:line="360" w:lineRule="auto"/>
        <w:jc w:val="center"/>
        <w:rPr>
          <w:rFonts w:ascii="Times New Roman" w:eastAsia="Times New Roman" w:hAnsi="Times New Roman" w:cs="Times New Roman"/>
          <w:b/>
          <w:sz w:val="24"/>
          <w:szCs w:val="24"/>
          <w:lang w:val="en-US"/>
        </w:rPr>
      </w:pPr>
    </w:p>
    <w:p w14:paraId="7A8D2420" w14:textId="77777777" w:rsidR="00EF4E75" w:rsidRDefault="00000000">
      <w:pPr>
        <w:widowControl w:val="0"/>
        <w:spacing w:line="360" w:lineRule="auto"/>
        <w:jc w:val="center"/>
        <w:rPr>
          <w:rFonts w:ascii="Times New Roman" w:eastAsia="Times New Roman" w:hAnsi="Times New Roman" w:cs="Times New Roman"/>
          <w:color w:val="00B0F0"/>
          <w:sz w:val="24"/>
          <w:szCs w:val="24"/>
        </w:rPr>
      </w:pPr>
      <w:r>
        <w:rPr>
          <w:rFonts w:ascii="Times New Roman" w:eastAsia="Times New Roman" w:hAnsi="Times New Roman" w:cs="Times New Roman"/>
          <w:b/>
          <w:sz w:val="24"/>
          <w:szCs w:val="24"/>
        </w:rPr>
        <w:t>INTRODUCCIÓN</w:t>
      </w:r>
    </w:p>
    <w:p w14:paraId="13AFC648"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Responsabilidad Social Empresarial (RSE) implica que las compañías incorporen criterios éticos, sociales y ambientales en sus actividades comerciales y en su relación con todas las partes involucradas (Sierra, 2023). De esta forma, la RSE constituye una herramienta relevante para la promoción y protección de los Derechos Humanos (DDHH), debido a que alinea las prácticas empresariales con principios éticos que priorizan la dignidad humana, la igualdad y la sostenibilidad.</w:t>
      </w:r>
    </w:p>
    <w:p w14:paraId="595665F0"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 un mundo globalizado donde las actividades empresariales impactan de manera significativa en las comunidades, la RSE ofrece un marco para que las empresas asuman un rol activo en la defensa de los DDHH. Esto implica no solo el cumplimiento de las normativas legales, sino también la implementación de políticas que garanticen condiciones laborales dignas, igualdad de oportunidades y el respeto por los derechos fundamentales de sus trabajadores y las comunidades en las que operan (Medina, 2018). Es así como la RSE actúa como un puente entre el sector privado y los Objetivos de Desarrollo Sostenible (ODS), contribuyendo especialmente a la erradicación de la pobreza (ODS 1), la igualdad de género (ODS 5) y el trabajo decente (ODS 8).</w:t>
      </w:r>
    </w:p>
    <w:p w14:paraId="6291815A"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 el caso del enfoque de género, la RSE juega un papel importante en la promoción de los derechos de las mujeres, quienes históricamente han enfrentado barreras estructurales en el ámbito laboral y social. A través de políticas inclusivas, como la equidad salarial, programas de liderazgo femenino y medidas contra el acoso laboral, las empresas pueden convertirse en agentes de cambio que fomenten una cultura de igualdad y respeto (Avella et al., 2024). Además, la inversión en programas comunitarios que empoderen a las mujeres refuerza su acceso a recursos económicos, educativos y sociales, fortaleciendo así su autonomía y su rol como actoras clave en el desarrollo sostenible.</w:t>
      </w:r>
    </w:p>
    <w:p w14:paraId="031C3962"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 igualdad de género no es solo la eliminación de diferencias de trato basadas en género, además, cuestiona cómo las normas de género son construcciones sociales que </w:t>
      </w:r>
      <w:r>
        <w:rPr>
          <w:rFonts w:ascii="Times New Roman" w:eastAsia="Times New Roman" w:hAnsi="Times New Roman" w:cs="Times New Roman"/>
          <w:sz w:val="24"/>
          <w:szCs w:val="24"/>
        </w:rPr>
        <w:lastRenderedPageBreak/>
        <w:t>limitan la libertad individual. De acuerdo a Butler (1990) la igualdad de género requiere desmantelar las normas rígidas que imponen identidades de género específicas, permitiendo que las personas se expresen fuera de los binarismos impuestos por la cultura.</w:t>
      </w:r>
    </w:p>
    <w:p w14:paraId="6CD2165A"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 liderazgo de las mujeres en el siglo XXI ha sido clave para lograr transformaciones sociales, científicas y tecnológicas, siendo por tanto la equidad un elemento indispensable para la conversación de los escenarios productivos. Los estudios sobre la mujer se desarrollaron a partir del cuestionamiento de todo esencialismo, principalmente el biológico, y la consecuente naturalización de lo femenino. La perspectiva de género reveló cómo se construían culturalmente características específicas atribuibles a la masculinidad y a la feminidad en virtud de una supuesta correspondencia con sus rasgos biológicos, y así abonó a la perspectiva constructivista y crítica del conocimiento. Sus aportes inician formalmente a partir de la década de los 70 del siglo XX, con el cuestionamiento de la naturalidad/normalización de la desigualdad entre el hombre y la mujer, recuperando y proyectando los límites de la lógica binaria y oposicional (</w:t>
      </w:r>
      <w:proofErr w:type="spellStart"/>
      <w:r>
        <w:rPr>
          <w:rFonts w:ascii="Times New Roman" w:eastAsia="Times New Roman" w:hAnsi="Times New Roman" w:cs="Times New Roman"/>
          <w:sz w:val="24"/>
          <w:szCs w:val="24"/>
        </w:rPr>
        <w:t>Misses</w:t>
      </w:r>
      <w:proofErr w:type="spellEnd"/>
      <w:r>
        <w:rPr>
          <w:rFonts w:ascii="Times New Roman" w:eastAsia="Times New Roman" w:hAnsi="Times New Roman" w:cs="Times New Roman"/>
          <w:sz w:val="24"/>
          <w:szCs w:val="24"/>
        </w:rPr>
        <w:t>, 2021).</w:t>
      </w:r>
    </w:p>
    <w:p w14:paraId="52B06BEA"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Estas contribuciones, desde lo crítico, prepararon el camino de millones de mujeres para que actualmente se aborden conversaciones sobre la naturaleza de lo femenino y la ocupación de espacios representativos del poder. De acuerdo con INFOBAE (2024) dichos espacios incluyen sectores como el industrial y empresarial, dos ámbitos que solían estar encabezados por los hombres. Las mujeres han avanzado significativamente en el acceso a altos cargos de liderazgo, aunque aún persisten desigualdades. En el ámbito empresarial global, las mujeres ocupan alrededor del 25% de los puestos de gestión senior, y aunque este porcentaje ha aumentado en los últimos años, sigue siendo bajo en comparación con sus contrapartes masculinas.</w:t>
      </w:r>
    </w:p>
    <w:p w14:paraId="5528CC18"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Un listado publicado por la Revista FORBES (2023) en Colombia, relaciona que la RSE e igualdad de género, como medidor de equidad social, ha cobrado relevancia debido al creciente reconocimiento de la necesidad de aportar al bienestar social y al desarrollo sostenible desde el sector privado, contribuyendo además con las metas planteadas en la </w:t>
      </w:r>
      <w:r>
        <w:rPr>
          <w:rFonts w:ascii="Times New Roman" w:eastAsia="Times New Roman" w:hAnsi="Times New Roman" w:cs="Times New Roman"/>
          <w:sz w:val="24"/>
          <w:szCs w:val="24"/>
        </w:rPr>
        <w:lastRenderedPageBreak/>
        <w:t>agenda 2030.</w:t>
      </w:r>
    </w:p>
    <w:p w14:paraId="192A97A0"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Aunque en Colombia la implementación de la Responsabilidad Social Empresarial cuenta con flexibilidad en su aplicación, respetando así la autonomía y el libre mercado como principios de la economía nacional, se aprecia que desde la Constitución Política de Colombia (1991) se establecen principios fundamentales relacionados con el desarrollo sostenible, la protección del medio ambiente y la responsabilidad social del sector privado en los artículos 333 y 334; siendo la norma fundamental, se comprende que existe un compromiso social que todas las empresas deben seguir, más específicamente regulado por el Código de comercio (Decreto 410 de 1971), estatuto del consumidor (Ley 1480 de 2011) y normas acordes; de tal forma las empresas nacionales tienen la obligación de adaptar sus prácticas según sea su sector productivo, beneficiando a quienes trabajan en ellas y a sus comunidades, sobre todo si existe un impacto ambiental.</w:t>
      </w:r>
    </w:p>
    <w:p w14:paraId="1207A5FA"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cyan"/>
        </w:rPr>
        <w:t>Asimismo, el Sello Equipares reconoce a las organizaciones y empresas que promocionan la equidad laboral con enfoque de género. Este Sello es un programa de certificación del Ministerio de Trabajo que cuenta con el apoyo del Programa de las Naciones Unidas para el Desarrollo (PNUD) y su implementación ha generado entornos más equitativos e inclusivos, apostando a la transformación de la cultura organizacional mediante el cierre de brechas de género.</w:t>
      </w:r>
    </w:p>
    <w:p w14:paraId="4A771AEC"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relación de la RSE y la equidad de género en Colombia van de la mano en el propósito de justicia social, teniendo en cuenta que, según el Departamento Administrativo Nacional de Estadística DANE (2023) alrededor del 34% de los hogares colombianos son liderados por mujeres, ya sea porque son madres cabeza de familia o se encargan del cuidado de padres y familiares. El lograr mejorar las condiciones de vida de las mujeres está relacionado con mejorar la vida y oportunidades de quienes están a su cargo.</w:t>
      </w:r>
    </w:p>
    <w:p w14:paraId="5650A4ED"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 desigualdad económica y laboral de las mujeres termina por afectar no sólo su avance profesional o experiencia en el mercado laboral, sino que, obstaculiza que los proyectos de vida que dirigen, por lo tanto, se necesita el acceso a mejores oportunidades </w:t>
      </w:r>
      <w:r>
        <w:rPr>
          <w:rFonts w:ascii="Times New Roman" w:eastAsia="Times New Roman" w:hAnsi="Times New Roman" w:cs="Times New Roman"/>
          <w:sz w:val="24"/>
          <w:szCs w:val="24"/>
        </w:rPr>
        <w:lastRenderedPageBreak/>
        <w:t xml:space="preserve">dando espacio al relevo generacional tan necesario para el progreso de la sociedad y el país. Como se mencionó previamente, la equidad de género forma parte de la agenda 2030 en su ODS número 5, se priorizan metas a cumplir por los Estados parte, dado que las empresas forman parte del conglomerado de actores que tienen un papel fundamental dentro de la sinergia necesaria para generar cambios significativos en el ambiente empresarial en Colombia. Por tanto, el presente artículo analiza desde un estudio de casos cuáles han sido las decisiones clave en la implementación de políticas de género mediadas por la RSE en Colombia. </w:t>
      </w:r>
    </w:p>
    <w:p w14:paraId="6ED40617"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Teniendo en cuenta lo anteriormente expuesto la pregunta problema que orienta el presente artículo de reflexión es </w:t>
      </w:r>
      <w:r>
        <w:rPr>
          <w:rFonts w:ascii="Times New Roman" w:eastAsia="Times New Roman" w:hAnsi="Times New Roman" w:cs="Times New Roman"/>
          <w:i/>
          <w:sz w:val="24"/>
          <w:szCs w:val="24"/>
        </w:rPr>
        <w:t xml:space="preserve">¿Cómo implementan las empresas colombianas con el sello Equipares políticas de RSE con enfoque de género en el entorno laboral? </w:t>
      </w:r>
      <w:r>
        <w:rPr>
          <w:rFonts w:ascii="Times New Roman" w:eastAsia="Times New Roman" w:hAnsi="Times New Roman" w:cs="Times New Roman"/>
          <w:sz w:val="24"/>
          <w:szCs w:val="24"/>
        </w:rPr>
        <w:t>Para responder dicha pregunta se ha planteado el objetivo general analizar la implementación de las políticas de RSE con enfoque de género de las empresas colombianas certificadas con el sello Equipares, a través de un estudio de caso con enfoque etnográfico digital. Como objetivos específicos se plantea en primera instancia sistematizar los conceptos de RSE y enfoque de género, en segunda instancia se propone desarrollar el marco normativo internacional y nacional sobre RSE y enfoque de género. Por último, se busca estudiar casos de empresas que aplican la RSE con enfoque de género en Colombia según Sello Equipares.</w:t>
      </w:r>
    </w:p>
    <w:p w14:paraId="56FA9312"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presente investigación sigue un enfoque cualitativo, sustentado en la revisión sistemática de fuentes secundarias. De acuerdo con Hernández Sampieri (2020), la investigación cualitativa busca comprender fenómenos en su contexto natural.</w:t>
      </w:r>
    </w:p>
    <w:p w14:paraId="65E8F6F9"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bookmarkStart w:id="0" w:name="_b1qnx0r7k2sd" w:colFirst="0" w:colLast="0"/>
      <w:bookmarkEnd w:id="0"/>
      <w:r>
        <w:rPr>
          <w:rFonts w:ascii="Times New Roman" w:eastAsia="Times New Roman" w:hAnsi="Times New Roman" w:cs="Times New Roman"/>
          <w:sz w:val="24"/>
          <w:szCs w:val="24"/>
        </w:rPr>
        <w:t>Se adopta un diseño no experimental de tipo transversal. El estudio no manipulará las categorías, sino que observará y documentará las políticas de responsabilidad social empresarial con enfoque de género implementadas por las organizaciones objeto de estudio en un momento específico en el tiempo. Este diseño permite recoger información relevante sobre las estrategias adoptadas y los avances alcanzados en cuanto a la promoción de la igualdad de género en el ámbito empresarial.</w:t>
      </w:r>
    </w:p>
    <w:p w14:paraId="35579BB4"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bookmarkStart w:id="1" w:name="_lolwp2q6pe5f" w:colFirst="0" w:colLast="0"/>
      <w:bookmarkEnd w:id="1"/>
      <w:r>
        <w:rPr>
          <w:rFonts w:ascii="Times New Roman" w:eastAsia="Times New Roman" w:hAnsi="Times New Roman" w:cs="Times New Roman"/>
          <w:sz w:val="24"/>
          <w:szCs w:val="24"/>
        </w:rPr>
        <w:lastRenderedPageBreak/>
        <w:t>La investigación es de tipo descriptiva y exploratoria. Es descriptivo porque se pretende detallar las decisiones, estrategias y dinámicas seguidas por las empresas que implementan políticas de responsabilidad social empresarial con enfoque de género, y exploratorio, porque se busca indagar en las percepciones y experiencias de los profesionales involucrados, lo que proporcionará información valiosa para futuras investigaciones sobre la efectividad y el impacto de estas políticas en el contexto empresarial colombiano.</w:t>
      </w:r>
    </w:p>
    <w:p w14:paraId="7CFD1BC8"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técnica principal para la recolección de datos es la etnografía digital permitiendo la recolección de datos a partir de observaciones en plataformas digitales, revisión documental y análisis de discursos en redes sociales y sitios web corporativos. Se seleccionó como estudio de caso una organización destacada por su compromiso con la Responsabilidad Social Empresarial (RSE) con enfoque de género en Colombia, certificada por el programa Equipares.</w:t>
      </w:r>
    </w:p>
    <w:p w14:paraId="151FCE3B" w14:textId="77777777" w:rsidR="00EF4E75" w:rsidRDefault="00EF4E75">
      <w:pPr>
        <w:widowControl w:val="0"/>
        <w:spacing w:line="360" w:lineRule="auto"/>
        <w:jc w:val="both"/>
        <w:rPr>
          <w:rFonts w:ascii="Times New Roman" w:eastAsia="Times New Roman" w:hAnsi="Times New Roman" w:cs="Times New Roman"/>
          <w:sz w:val="24"/>
          <w:szCs w:val="24"/>
        </w:rPr>
      </w:pPr>
    </w:p>
    <w:p w14:paraId="0037699B" w14:textId="77777777" w:rsidR="00EF4E75" w:rsidRDefault="00000000">
      <w:pPr>
        <w:widowControl w:val="0"/>
        <w:numPr>
          <w:ilvl w:val="0"/>
          <w:numId w:val="6"/>
        </w:numPr>
        <w:pBdr>
          <w:top w:val="nil"/>
          <w:left w:val="nil"/>
          <w:bottom w:val="nil"/>
          <w:right w:val="nil"/>
          <w:between w:val="nil"/>
        </w:pBdr>
        <w:spacing w:after="160" w:line="360" w:lineRule="auto"/>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SISTEMATIZACIÓN DE CONCEPTOS CLAVE</w:t>
      </w:r>
    </w:p>
    <w:p w14:paraId="68DB0D50" w14:textId="77777777" w:rsidR="00EF4E75" w:rsidRDefault="00000000">
      <w:pPr>
        <w:numPr>
          <w:ilvl w:val="0"/>
          <w:numId w:val="2"/>
        </w:numPr>
        <w:shd w:val="clear" w:color="auto" w:fill="FFFFFF"/>
        <w:spacing w:before="200" w:after="20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Responsabilidad Social Empresarial (RSE) </w:t>
      </w:r>
    </w:p>
    <w:p w14:paraId="369AA422" w14:textId="77777777" w:rsidR="00EF4E75" w:rsidRDefault="00000000">
      <w:pPr>
        <w:shd w:val="clear" w:color="auto" w:fill="FFFFFF"/>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 acuerdo con la Cámara de Comercio de Medellín (2023) la Responsabilidad Social Empresarial (RSE) es el compromiso que asume una empresa para contribuir al desarrollo económico sostenible por medio de la colaboración con sus empleados, sus familias, la comunidad local y la sociedad en pleno, con el objetivo de mejorar la calidad de vida. Además, no solo es una forma de realizar trabajos sociales en la comunidad, se trata más bien de una estrategia de la empresa, que junto a su gestión de negocios y reflejando sus valores, debe ser tratada como un caso de negocios más.</w:t>
      </w:r>
    </w:p>
    <w:p w14:paraId="65978E0E" w14:textId="77777777" w:rsidR="00EF4E75" w:rsidRDefault="00000000">
      <w:pPr>
        <w:shd w:val="clear" w:color="auto" w:fill="FFFFFF"/>
        <w:spacing w:after="20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 RSE fue desarrollada en América latina a partir de 1970 según lo documenta el Fondo Multilateral de Inversiones y el Banco Interamericano de Desarrollo (2011). En un principio, el compromiso de las empresas hacia la sociedad era entendido como filantropía; las acciones más comunes se enfocan en donaciones, pero sin una estrategia clara ni </w:t>
      </w:r>
      <w:r>
        <w:rPr>
          <w:rFonts w:ascii="Times New Roman" w:eastAsia="Times New Roman" w:hAnsi="Times New Roman" w:cs="Times New Roman"/>
          <w:sz w:val="24"/>
          <w:szCs w:val="24"/>
        </w:rPr>
        <w:lastRenderedPageBreak/>
        <w:t xml:space="preserve">programas sostenibles a largo plazo. Uno de los primeros autores que dirigió la dinámica empresarial de responsabilidad corporativa fue Carroll (1991) quien desarrolló el modelo de la Pirámide de la RSE (Figura 1), que aborda las dimensiones económica, legal, ética y filantrópica como pilares esenciales de la responsabilidad empresarial. </w:t>
      </w:r>
    </w:p>
    <w:p w14:paraId="0231A9E6" w14:textId="77777777" w:rsidR="00EF4E75" w:rsidRDefault="00000000">
      <w:pPr>
        <w:shd w:val="clear" w:color="auto" w:fill="FFFFFF"/>
        <w:spacing w:before="20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Figura 1. </w:t>
      </w:r>
    </w:p>
    <w:p w14:paraId="464F84DE" w14:textId="77777777" w:rsidR="00EF4E75" w:rsidRDefault="00000000">
      <w:pPr>
        <w:shd w:val="clear" w:color="auto" w:fill="FFFFFF"/>
        <w:spacing w:line="36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Pirámide de la RSE. </w:t>
      </w:r>
    </w:p>
    <w:p w14:paraId="73A907D9" w14:textId="77777777" w:rsidR="00EF4E75" w:rsidRDefault="00000000">
      <w:pPr>
        <w:shd w:val="clear" w:color="auto" w:fill="FFFFFF"/>
        <w:spacing w:before="200" w:after="200" w:line="360" w:lineRule="auto"/>
        <w:ind w:left="720" w:firstLine="720"/>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044D5587" wp14:editId="25D6DFB5">
            <wp:extent cx="3458321" cy="3449476"/>
            <wp:effectExtent l="0" t="0" r="0" b="0"/>
            <wp:docPr id="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a:stretch>
                      <a:fillRect/>
                    </a:stretch>
                  </pic:blipFill>
                  <pic:spPr>
                    <a:xfrm>
                      <a:off x="0" y="0"/>
                      <a:ext cx="3458321" cy="3449476"/>
                    </a:xfrm>
                    <a:prstGeom prst="rect">
                      <a:avLst/>
                    </a:prstGeom>
                    <a:ln/>
                  </pic:spPr>
                </pic:pic>
              </a:graphicData>
            </a:graphic>
          </wp:inline>
        </w:drawing>
      </w:r>
    </w:p>
    <w:p w14:paraId="369F0073" w14:textId="77777777" w:rsidR="00EF4E75" w:rsidRDefault="00000000">
      <w:pPr>
        <w:shd w:val="clear" w:color="auto" w:fill="FFFFFF"/>
        <w:spacing w:after="200"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i/>
          <w:sz w:val="24"/>
          <w:szCs w:val="24"/>
        </w:rPr>
        <w:t xml:space="preserve">Fuente: </w:t>
      </w:r>
      <w:r>
        <w:rPr>
          <w:rFonts w:ascii="Times New Roman" w:eastAsia="Times New Roman" w:hAnsi="Times New Roman" w:cs="Times New Roman"/>
          <w:sz w:val="24"/>
          <w:szCs w:val="24"/>
        </w:rPr>
        <w:t>Elaboración propia.</w:t>
      </w:r>
    </w:p>
    <w:p w14:paraId="0CE115EB" w14:textId="77777777" w:rsidR="00EF4E75" w:rsidRDefault="00000000">
      <w:pPr>
        <w:shd w:val="clear" w:color="auto" w:fill="FFFFFF"/>
        <w:spacing w:before="200" w:line="36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Los autores Porter y Kramer (2011) introdujeron el concepto de valor compartido, que conecta la competitividad de las empresas con el progreso de la sociedad. Proponen que las empresas pueden crear valor económico mediante la generación de beneficios sociales en tres áreas principales: redefinir productos y mercados, reconfigurar las cadenas de valor y </w:t>
      </w:r>
      <w:r>
        <w:rPr>
          <w:rFonts w:ascii="Times New Roman" w:eastAsia="Times New Roman" w:hAnsi="Times New Roman" w:cs="Times New Roman"/>
          <w:sz w:val="24"/>
          <w:szCs w:val="24"/>
        </w:rPr>
        <w:lastRenderedPageBreak/>
        <w:t xml:space="preserve">construir </w:t>
      </w:r>
      <w:proofErr w:type="spellStart"/>
      <w:r>
        <w:rPr>
          <w:rFonts w:ascii="Times New Roman" w:eastAsia="Times New Roman" w:hAnsi="Times New Roman" w:cs="Times New Roman"/>
          <w:i/>
          <w:sz w:val="24"/>
          <w:szCs w:val="24"/>
        </w:rPr>
        <w:t>clusters</w:t>
      </w:r>
      <w:proofErr w:type="spellEnd"/>
      <w:r>
        <w:rPr>
          <w:rFonts w:ascii="Times New Roman" w:eastAsia="Times New Roman" w:hAnsi="Times New Roman" w:cs="Times New Roman"/>
          <w:sz w:val="24"/>
          <w:szCs w:val="24"/>
        </w:rPr>
        <w:t xml:space="preserve"> de apoyo.</w:t>
      </w:r>
      <w:r>
        <w:rPr>
          <w:rFonts w:ascii="Times New Roman" w:eastAsia="Times New Roman" w:hAnsi="Times New Roman" w:cs="Times New Roman"/>
          <w:sz w:val="24"/>
          <w:szCs w:val="24"/>
          <w:vertAlign w:val="superscript"/>
        </w:rPr>
        <w:footnoteReference w:id="2"/>
      </w:r>
      <w:r>
        <w:rPr>
          <w:rFonts w:ascii="Times New Roman" w:eastAsia="Times New Roman" w:hAnsi="Times New Roman" w:cs="Times New Roman"/>
          <w:sz w:val="24"/>
          <w:szCs w:val="24"/>
        </w:rPr>
        <w:t xml:space="preserve"> Este enfoque se diferencia de la filantropía tradicional al integrar objetivos sociales en el núcleo de las estrategias empresariales, maximizando el impacto positivo.</w:t>
      </w:r>
    </w:p>
    <w:p w14:paraId="32129F8E" w14:textId="77777777" w:rsidR="00EF4E75" w:rsidRDefault="00000000">
      <w:pPr>
        <w:shd w:val="clear" w:color="auto" w:fill="FFFFFF"/>
        <w:spacing w:after="200" w:line="36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evolución de la RSE tomó mayor estructura a partir de aportes significativos como los principios éticos en los que se basan las empresas, los procesos organizacionales que implementan esos principios, los resultados tangibles que las empresas logran en sus relaciones con la sociedad y el medio ambiente. Este modelo es utilizado para medir y analizar el impacto social de las actividades empresariales (Wood, 1991).</w:t>
      </w:r>
    </w:p>
    <w:p w14:paraId="0F7FD37F" w14:textId="77777777" w:rsidR="00EF4E75" w:rsidRDefault="00000000">
      <w:pPr>
        <w:shd w:val="clear" w:color="auto" w:fill="FFFFFF"/>
        <w:spacing w:before="20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Figura 2.</w:t>
      </w:r>
    </w:p>
    <w:p w14:paraId="35E15880" w14:textId="77777777" w:rsidR="00EF4E75" w:rsidRDefault="00000000">
      <w:pPr>
        <w:shd w:val="clear" w:color="auto" w:fill="FFFFFF"/>
        <w:spacing w:after="200" w:line="360" w:lineRule="auto"/>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Pirámide de la RSE. </w:t>
      </w:r>
    </w:p>
    <w:p w14:paraId="210CE42B" w14:textId="77777777" w:rsidR="00EF4E75" w:rsidRDefault="00000000">
      <w:pPr>
        <w:shd w:val="clear" w:color="auto" w:fill="FFFFFF"/>
        <w:spacing w:before="200" w:after="200" w:line="360" w:lineRule="auto"/>
        <w:ind w:firstLine="708"/>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3F50D70E" wp14:editId="1B5705AF">
            <wp:extent cx="2438400" cy="2438400"/>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2438400" cy="2438400"/>
                    </a:xfrm>
                    <a:prstGeom prst="rect">
                      <a:avLst/>
                    </a:prstGeom>
                    <a:ln/>
                  </pic:spPr>
                </pic:pic>
              </a:graphicData>
            </a:graphic>
          </wp:inline>
        </w:drawing>
      </w:r>
    </w:p>
    <w:p w14:paraId="069A0BE8" w14:textId="77777777" w:rsidR="00EF4E75" w:rsidRDefault="00000000">
      <w:pPr>
        <w:shd w:val="clear" w:color="auto" w:fill="FFFFFF"/>
        <w:spacing w:before="200" w:after="200" w:line="360" w:lineRule="auto"/>
        <w:ind w:left="720" w:firstLine="720"/>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Fuente: </w:t>
      </w:r>
      <w:r>
        <w:rPr>
          <w:rFonts w:ascii="Times New Roman" w:eastAsia="Times New Roman" w:hAnsi="Times New Roman" w:cs="Times New Roman"/>
          <w:sz w:val="24"/>
          <w:szCs w:val="24"/>
        </w:rPr>
        <w:t xml:space="preserve">Elaboración propia. </w:t>
      </w:r>
    </w:p>
    <w:p w14:paraId="5EC7854B" w14:textId="77777777" w:rsidR="00EF4E75" w:rsidRDefault="00000000">
      <w:pPr>
        <w:shd w:val="clear" w:color="auto" w:fill="FFFFFF"/>
        <w:spacing w:line="360" w:lineRule="auto"/>
        <w:ind w:firstLine="708"/>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Elkington</w:t>
      </w:r>
      <w:proofErr w:type="spellEnd"/>
      <w:r>
        <w:rPr>
          <w:rFonts w:ascii="Times New Roman" w:eastAsia="Times New Roman" w:hAnsi="Times New Roman" w:cs="Times New Roman"/>
          <w:sz w:val="24"/>
          <w:szCs w:val="24"/>
        </w:rPr>
        <w:t xml:space="preserve"> (1997) fue uno de los primeros autores en contemplar la sostenibilidad ambiental dentro de sus postulados sobre responsabilidad social corporativa. Describió </w:t>
      </w:r>
      <w:r>
        <w:rPr>
          <w:rFonts w:ascii="Times New Roman" w:eastAsia="Times New Roman" w:hAnsi="Times New Roman" w:cs="Times New Roman"/>
          <w:sz w:val="24"/>
          <w:szCs w:val="24"/>
        </w:rPr>
        <w:lastRenderedPageBreak/>
        <w:t xml:space="preserve">mediante un proceso de tres etapas cómo las organizaciones deben ser evaluadas según su foco de acción y su capacidad de impacto en economía, sociedad y huella ambiental (Figura 2). </w:t>
      </w:r>
    </w:p>
    <w:p w14:paraId="27516910" w14:textId="77777777" w:rsidR="00EF4E75" w:rsidRDefault="00000000">
      <w:pPr>
        <w:shd w:val="clear" w:color="auto" w:fill="FFFFFF"/>
        <w:spacing w:after="240" w:line="36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Los autores anteriormente descritos trazaron un camino relevante sobre la estructura que se estudia como base en los valores que componen la RSE, sin embargo, previo a esta visión desencadenada a partir de la década de los 70’s existieron razones ligadas a la epistemología jurídica que explican de forma reflexiva y crítica la relación entre el Estado, las organizaciones privadas y la sociedad como una sinergia que debe funcionar bajo unos mismos pilares que garanticen la armonía de cada individuo. </w:t>
      </w:r>
    </w:p>
    <w:p w14:paraId="793843FB" w14:textId="77777777" w:rsidR="00EF4E75" w:rsidRDefault="00000000">
      <w:pPr>
        <w:widowControl w:val="0"/>
        <w:numPr>
          <w:ilvl w:val="0"/>
          <w:numId w:val="2"/>
        </w:numPr>
        <w:pBdr>
          <w:top w:val="nil"/>
          <w:left w:val="nil"/>
          <w:bottom w:val="nil"/>
          <w:right w:val="nil"/>
          <w:between w:val="nil"/>
        </w:pBdr>
        <w:spacing w:after="16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Perspectiva hermenéutica del Contrato Social</w:t>
      </w:r>
    </w:p>
    <w:p w14:paraId="7E94E4B9" w14:textId="77777777" w:rsidR="00EF4E75" w:rsidRDefault="00000000">
      <w:pPr>
        <w:widowControl w:val="0"/>
        <w:pBdr>
          <w:top w:val="nil"/>
          <w:left w:val="nil"/>
          <w:bottom w:val="nil"/>
          <w:right w:val="nil"/>
          <w:between w:val="nil"/>
        </w:pBdr>
        <w:spacing w:line="36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 la obra </w:t>
      </w:r>
      <w:proofErr w:type="spellStart"/>
      <w:r>
        <w:rPr>
          <w:rFonts w:ascii="Times New Roman" w:eastAsia="Times New Roman" w:hAnsi="Times New Roman" w:cs="Times New Roman"/>
          <w:sz w:val="24"/>
          <w:szCs w:val="24"/>
        </w:rPr>
        <w:t>Leviathan</w:t>
      </w:r>
      <w:proofErr w:type="spellEnd"/>
      <w:r>
        <w:rPr>
          <w:rFonts w:ascii="Times New Roman" w:eastAsia="Times New Roman" w:hAnsi="Times New Roman" w:cs="Times New Roman"/>
          <w:sz w:val="24"/>
          <w:szCs w:val="24"/>
        </w:rPr>
        <w:t xml:space="preserve"> de Hobbes (1651) se expresa lo siguiente:</w:t>
      </w:r>
    </w:p>
    <w:p w14:paraId="311786D1" w14:textId="77777777" w:rsidR="00EF4E75" w:rsidRDefault="00000000">
      <w:pPr>
        <w:widowControl w:val="0"/>
        <w:pBdr>
          <w:top w:val="nil"/>
          <w:left w:val="nil"/>
          <w:bottom w:val="nil"/>
          <w:right w:val="nil"/>
          <w:between w:val="nil"/>
        </w:pBdr>
        <w:spacing w:line="360" w:lineRule="auto"/>
        <w:ind w:left="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Que los hombres cumplan los pactos que han celebrado. Sin ello, los pactos son vanos, y no contienen sino palabras vacías, y subsistiendo el derecho de todos los hombres a todas las cosas, seguimos hallándose en situación de guerra. En esta ley de naturaleza consiste la fuente y Origen de la Justicia. En efecto, donde no ha existido un pacto, no se ha transferido ningún derecho, y todos los hombres tienen derecho a todas las cosas: por tanto, ninguna acción puede ser injusta. Pero cuando se ha hecho un pacto, romperlo es injusto. La definición de Injusticia no es otra sino ésta: El incumplimiento de un pacto. En consecuencia, lo que no es injusto es justo (pp. 108-109).</w:t>
      </w:r>
    </w:p>
    <w:p w14:paraId="6E9BD245" w14:textId="77777777" w:rsidR="00EF4E75" w:rsidRDefault="00000000">
      <w:pPr>
        <w:widowControl w:val="0"/>
        <w:pBdr>
          <w:top w:val="nil"/>
          <w:left w:val="nil"/>
          <w:bottom w:val="nil"/>
          <w:right w:val="nil"/>
          <w:between w:val="nil"/>
        </w:pBd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 dicha obra, el autor enfatiza en los indiscutibles elementos de la naturaleza humana que están ligados con el poder, sobre todo con el poder absoluto sobre el individuo, dada la necesidad de control, la avaricia, la ambición y otros aspectos que podrían catalogarse como vicios de la naturaleza humana. Sin embargo, al enfrentarlos con las normas de la civilización, Hobbes realiza paralelos entre la renuncia del hombre a su naturaleza de poder ante la sensación de justicia y paridad que ofrece un sistema político o de gobierno. Ideas que </w:t>
      </w:r>
      <w:r>
        <w:rPr>
          <w:rFonts w:ascii="Times New Roman" w:eastAsia="Times New Roman" w:hAnsi="Times New Roman" w:cs="Times New Roman"/>
          <w:sz w:val="24"/>
          <w:szCs w:val="24"/>
        </w:rPr>
        <w:lastRenderedPageBreak/>
        <w:t xml:space="preserve">años después retomaría Rousseau (1762) para explicar en el contrato social cómo una estructura dada al hombre desde el derecho natural y consuetudinario serían el inicio de un complejo entramado de normas que en la actualidad ofrecen al ser humano en sociedad cierta seguridad sobre las dinámicas de vida y todo lo que de ella se deriva, una transición de la libertad individual hacia la libertad política. </w:t>
      </w:r>
    </w:p>
    <w:p w14:paraId="6ADE92CE" w14:textId="77777777" w:rsidR="00EF4E75" w:rsidRDefault="00000000">
      <w:pPr>
        <w:widowControl w:val="0"/>
        <w:pBdr>
          <w:top w:val="nil"/>
          <w:left w:val="nil"/>
          <w:bottom w:val="nil"/>
          <w:right w:val="nil"/>
          <w:between w:val="nil"/>
        </w:pBdr>
        <w:spacing w:line="36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Lo anterior como premisa base del derecho natural y su interpretación desde autores clásicos trazó una línea significativa sobre la concepción de los derechos humanos en relación con el sistema, cuya función de alguna forma es encausada por ficciones que derivan en actos y obligaciones para el individuo consigo mismo y con su entorno. Si se quisiera precisar en esta investigación sobre cómo el ser humano comenzó a establecerse en el mundo, se llegaría entonces a la discusión que desde dos perspectivas atraviesa al derecho y la antropología. </w:t>
      </w:r>
      <w:r>
        <w:rPr>
          <w:rFonts w:ascii="Times New Roman" w:eastAsia="Times New Roman" w:hAnsi="Times New Roman" w:cs="Times New Roman"/>
          <w:i/>
          <w:sz w:val="24"/>
          <w:szCs w:val="24"/>
        </w:rPr>
        <w:t xml:space="preserve">¿Qué fue primero: </w:t>
      </w:r>
      <w:proofErr w:type="gramStart"/>
      <w:r>
        <w:rPr>
          <w:rFonts w:ascii="Times New Roman" w:eastAsia="Times New Roman" w:hAnsi="Times New Roman" w:cs="Times New Roman"/>
          <w:i/>
          <w:sz w:val="24"/>
          <w:szCs w:val="24"/>
        </w:rPr>
        <w:t>Estado o propiedad privada?</w:t>
      </w:r>
      <w:proofErr w:type="gramEnd"/>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 xml:space="preserve">Para Locke, quien como autor refuerza parte del argumento antropológico, el ser humano (hombre en sus textos) comienza a asentarse y tomar dominio de los territorios según fuese su conveniencia para posteriormente afianzar su vida y costumbres e imponerlas a otros, la lucha por los territorios terminaría en algún punto tras varios siglos para dar paso a un ente que regularía la relación del hombre con el entorno. Asimismo, pondría límites a su poder individual.  Esta tesis es retomada años más tarde desde los estudios sociológicos de Morgan y Engels (1884) en la Familia, la propiedad privada y el Estado. </w:t>
      </w:r>
    </w:p>
    <w:p w14:paraId="77B2DED8" w14:textId="77777777" w:rsidR="00EF4E75" w:rsidRDefault="00000000">
      <w:pPr>
        <w:widowControl w:val="0"/>
        <w:pBdr>
          <w:top w:val="nil"/>
          <w:left w:val="nil"/>
          <w:bottom w:val="nil"/>
          <w:right w:val="nil"/>
          <w:between w:val="nil"/>
        </w:pBdr>
        <w:spacing w:line="36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Ahora bien, la relevancia de estos autores consiste en que, aunque sus visiones no contemplaban los temas que atañen a la investigación referente a las políticas de género, dado que no era común la integración de la perspectiva femenina en sus épocas ni las expresiones literarias como historiadoras o intérpretes de los fenómenos sociales. Su mención es pertinente por explicar los orígenes de las concepciones sobre las cuales se establecen algunas normativas internacionales, sobre todo en lo relacionado a mecanismos de pesos y contrapesos, derechos humanos y arbitraje comercial, lo cual se encuentra ligado a la Responsabilidad Social Empresarial (RSE). </w:t>
      </w:r>
    </w:p>
    <w:p w14:paraId="241C07F8" w14:textId="77777777" w:rsidR="00EF4E75" w:rsidRDefault="00000000">
      <w:pPr>
        <w:widowControl w:val="0"/>
        <w:numPr>
          <w:ilvl w:val="0"/>
          <w:numId w:val="2"/>
        </w:numPr>
        <w:pBdr>
          <w:top w:val="nil"/>
          <w:left w:val="nil"/>
          <w:bottom w:val="nil"/>
          <w:right w:val="nil"/>
          <w:between w:val="nil"/>
        </w:pBdr>
        <w:spacing w:before="240" w:after="16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lastRenderedPageBreak/>
        <w:t>La mujer en el ámbito empresarial: Nociones de igualdad y enfoque de género</w:t>
      </w:r>
    </w:p>
    <w:p w14:paraId="626A868A" w14:textId="77777777" w:rsidR="00EF4E75" w:rsidRDefault="00000000">
      <w:pPr>
        <w:widowControl w:val="0"/>
        <w:pBdr>
          <w:top w:val="nil"/>
          <w:left w:val="nil"/>
          <w:bottom w:val="nil"/>
          <w:right w:val="nil"/>
          <w:between w:val="nil"/>
        </w:pBd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igualdad de género es un concepto ampliamente discutido por diversas autoras destacadas. Una referencia fundamental es la filósofa y teórica feminista Simone de Beauvoir. Aunque ella no define "igualdad de género" en términos modernos, su obra El segundo sexo (1949) sienta las bases para comprender el concepto al examinar cómo la sociedad construye roles de género y perpetúa la desigualdad. Para Beauvoir "La igualdad de género implica la posibilidad de que las mujeres no sean definidas en función de su 'otredad' respecto al hombre, sino que puedan ser reconocidas como seres humanos plenos, libres de las restricciones impuestas por roles de género establecidos"(de Beauvoir, 1949, p. 18).</w:t>
      </w:r>
    </w:p>
    <w:p w14:paraId="2BB846FB" w14:textId="77777777" w:rsidR="00EF4E75" w:rsidRDefault="00000000">
      <w:pPr>
        <w:widowControl w:val="0"/>
        <w:pBdr>
          <w:top w:val="nil"/>
          <w:left w:val="nil"/>
          <w:bottom w:val="nil"/>
          <w:right w:val="nil"/>
          <w:between w:val="nil"/>
        </w:pBdr>
        <w:spacing w:line="360" w:lineRule="auto"/>
        <w:ind w:firstLine="720"/>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Virginia Woolf (1929) aborda la igualdad de género desde la perspectiva de las oportunidades intelectuales y económicas. Argumenta que la independencia económica y la libertad para crear son esenciales para que las mujeres puedan alcanzar una verdadera igualdad "La igualdad de género consiste en garantizar que todas las personas, sin importar su género, tengan las mismas condiciones materiales y sociales para desarrollar su potencial, ya sea en el ámbito literario, artístico o cualquier otro."</w:t>
      </w:r>
    </w:p>
    <w:p w14:paraId="5787E5C5"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igualdad de género en el ámbito empresarial, según la guía del Banco Interamericano de Desarrollo BID (2024), aboga por un enfoque integral que impulse la participación activa de las mujeres en todos los niveles. Esto incluye la implementación de políticas salariales equitativas, la promoción del liderazgo femenino y la creación de ambientes laborales inclusivos que favorezcan la corresponsabilidad en los cuidados. Las empresas que adoptan estas prácticas no solo avanzan hacia la equidad, sino que también mejoran su productividad y sostenibilidad (Avella y Villanueva, 2024). Tanto en la cultura organizacional como en la estrategia empresarial.</w:t>
      </w:r>
    </w:p>
    <w:p w14:paraId="1386A790"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 inclusión femenina en posiciones de liderazgo está demostrando ser clave para implementar políticas de Responsabilidad Social Empresarial (RSE) efectivas, ya que las mujeres tienden a abordar los desafíos sociales y ambientales desde una perspectiva inclusiva y colaborativa. Esto no solo fomenta la equidad dentro de las empresas, sino que también </w:t>
      </w:r>
      <w:r>
        <w:rPr>
          <w:rFonts w:ascii="Times New Roman" w:eastAsia="Times New Roman" w:hAnsi="Times New Roman" w:cs="Times New Roman"/>
          <w:sz w:val="24"/>
          <w:szCs w:val="24"/>
        </w:rPr>
        <w:lastRenderedPageBreak/>
        <w:t>potencia la sostenibilidad y la ética corporativa, aspectos esenciales para el desarrollo a largo plazo.</w:t>
      </w:r>
    </w:p>
    <w:p w14:paraId="2FD6EF7E"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incorporación de la mujer al entorno empresarial contribuye a un enfoque más holístico y responsable, que no solo busca el beneficio económico, sino también el bienestar social y ambiental, pilares fundamentales de la RSE. La influencia femenina permite reestructurar el diálogo en torno a la equidad y la justicia social, promoviendo la integración de políticas más inclusivas que beneficien tanto a los empleados como a las comunidades. Este liderazgo equitativo contribuye a establecer un modelo empresarial que alinea las expectativas de los consumidores con los principios de sostenibilidad y derechos humanos.</w:t>
      </w:r>
    </w:p>
    <w:p w14:paraId="63AE86BE"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Ahora bien, según Lagarde (1996), el enfoque de género es una perspectiva analítica y política que permite «visibilizar las relaciones de poder entre los sexos, evidenciar las desigualdades estructurales y proponer transformaciones hacia la equidad y la justicia social.» Este enfoque va más allá del simple examen de las diferencias entre hombres y mujeres; también examina cómo se han construido históricamente estas diferencias y cómo se perpetúan a través de las prácticas sociales, las instituciones y la cultura.</w:t>
      </w:r>
    </w:p>
    <w:p w14:paraId="39741C49" w14:textId="77777777" w:rsidR="00EF4E75" w:rsidRDefault="00EF4E75">
      <w:pPr>
        <w:widowControl w:val="0"/>
        <w:spacing w:line="360" w:lineRule="auto"/>
        <w:ind w:firstLine="720"/>
        <w:jc w:val="both"/>
        <w:rPr>
          <w:rFonts w:ascii="Times New Roman" w:eastAsia="Times New Roman" w:hAnsi="Times New Roman" w:cs="Times New Roman"/>
          <w:sz w:val="24"/>
          <w:szCs w:val="24"/>
        </w:rPr>
      </w:pPr>
    </w:p>
    <w:p w14:paraId="366E00A0" w14:textId="77777777" w:rsidR="00EF4E75" w:rsidRDefault="00EF4E75">
      <w:pPr>
        <w:widowControl w:val="0"/>
        <w:spacing w:line="360" w:lineRule="auto"/>
        <w:ind w:firstLine="720"/>
        <w:jc w:val="both"/>
        <w:rPr>
          <w:rFonts w:ascii="Times New Roman" w:eastAsia="Times New Roman" w:hAnsi="Times New Roman" w:cs="Times New Roman"/>
          <w:sz w:val="24"/>
          <w:szCs w:val="24"/>
        </w:rPr>
      </w:pPr>
    </w:p>
    <w:p w14:paraId="351AC761" w14:textId="77777777" w:rsidR="00EF4E75" w:rsidRDefault="00EF4E75">
      <w:pPr>
        <w:widowControl w:val="0"/>
        <w:spacing w:line="360" w:lineRule="auto"/>
        <w:ind w:firstLine="720"/>
        <w:jc w:val="both"/>
        <w:rPr>
          <w:rFonts w:ascii="Times New Roman" w:eastAsia="Times New Roman" w:hAnsi="Times New Roman" w:cs="Times New Roman"/>
          <w:sz w:val="24"/>
          <w:szCs w:val="24"/>
        </w:rPr>
      </w:pPr>
    </w:p>
    <w:p w14:paraId="5F5F9221" w14:textId="77777777" w:rsidR="00EF4E75" w:rsidRDefault="00EF4E75">
      <w:pPr>
        <w:widowControl w:val="0"/>
        <w:spacing w:line="360" w:lineRule="auto"/>
        <w:ind w:firstLine="720"/>
        <w:jc w:val="both"/>
        <w:rPr>
          <w:rFonts w:ascii="Times New Roman" w:eastAsia="Times New Roman" w:hAnsi="Times New Roman" w:cs="Times New Roman"/>
          <w:sz w:val="24"/>
          <w:szCs w:val="24"/>
        </w:rPr>
      </w:pPr>
    </w:p>
    <w:p w14:paraId="7075D72C" w14:textId="77777777" w:rsidR="00EF4E75" w:rsidRDefault="00EF4E75">
      <w:pPr>
        <w:widowControl w:val="0"/>
        <w:spacing w:line="360" w:lineRule="auto"/>
        <w:ind w:firstLine="720"/>
        <w:jc w:val="both"/>
        <w:rPr>
          <w:rFonts w:ascii="Times New Roman" w:eastAsia="Times New Roman" w:hAnsi="Times New Roman" w:cs="Times New Roman"/>
          <w:sz w:val="24"/>
          <w:szCs w:val="24"/>
        </w:rPr>
      </w:pPr>
    </w:p>
    <w:p w14:paraId="73CCB55B" w14:textId="77777777" w:rsidR="00EF4E75" w:rsidRDefault="00EF4E75">
      <w:pPr>
        <w:widowControl w:val="0"/>
        <w:spacing w:line="360" w:lineRule="auto"/>
        <w:ind w:firstLine="720"/>
        <w:jc w:val="both"/>
        <w:rPr>
          <w:rFonts w:ascii="Times New Roman" w:eastAsia="Times New Roman" w:hAnsi="Times New Roman" w:cs="Times New Roman"/>
          <w:sz w:val="24"/>
          <w:szCs w:val="24"/>
        </w:rPr>
      </w:pPr>
    </w:p>
    <w:p w14:paraId="0F56665D" w14:textId="77777777" w:rsidR="00EF4E75" w:rsidRDefault="00000000">
      <w:pPr>
        <w:numPr>
          <w:ilvl w:val="0"/>
          <w:numId w:val="3"/>
        </w:numPr>
        <w:shd w:val="clear" w:color="auto" w:fill="FFFFFF"/>
        <w:spacing w:after="200" w:line="360" w:lineRule="auto"/>
        <w:jc w:val="both"/>
        <w:rPr>
          <w:rFonts w:ascii="Times New Roman" w:eastAsia="Times New Roman" w:hAnsi="Times New Roman" w:cs="Times New Roman"/>
          <w:b/>
          <w:sz w:val="24"/>
          <w:szCs w:val="24"/>
        </w:rPr>
      </w:pPr>
      <w:commentRangeStart w:id="2"/>
      <w:r>
        <w:rPr>
          <w:rFonts w:ascii="Times New Roman" w:eastAsia="Times New Roman" w:hAnsi="Times New Roman" w:cs="Times New Roman"/>
          <w:b/>
          <w:sz w:val="24"/>
          <w:szCs w:val="24"/>
        </w:rPr>
        <w:t>MARCO NORMATIVO SOBRE RSE Y ENFOQUE DE GÉNERO</w:t>
      </w:r>
      <w:commentRangeEnd w:id="2"/>
      <w:r>
        <w:commentReference w:id="2"/>
      </w:r>
    </w:p>
    <w:p w14:paraId="00A1AC78" w14:textId="77777777" w:rsidR="00EF4E75" w:rsidRDefault="00000000">
      <w:pPr>
        <w:widowControl w:val="0"/>
        <w:numPr>
          <w:ilvl w:val="0"/>
          <w:numId w:val="4"/>
        </w:numPr>
        <w:spacing w:after="16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Normativa internacional con enfoque de género</w:t>
      </w:r>
    </w:p>
    <w:p w14:paraId="5562314A" w14:textId="77777777" w:rsidR="00EF4E75" w:rsidRDefault="00000000">
      <w:pPr>
        <w:widowControl w:val="0"/>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Las normas internacionales de género han sido esenciales para poner de relieve las disparidades estructurales a las que se enfrentan las mujeres en diversos ámbitos y para promover acciones concretas que apoyen una igualdad sostenible. A continuación, se </w:t>
      </w:r>
      <w:r>
        <w:rPr>
          <w:rFonts w:ascii="Times New Roman" w:eastAsia="Times New Roman" w:hAnsi="Times New Roman" w:cs="Times New Roman"/>
          <w:sz w:val="24"/>
          <w:szCs w:val="24"/>
        </w:rPr>
        <w:lastRenderedPageBreak/>
        <w:t>presentan las principales herramientas y marcos normativos que orientan los esfuerzos internacionales en este ámbito.</w:t>
      </w:r>
    </w:p>
    <w:p w14:paraId="3309B87B" w14:textId="77777777" w:rsidR="00EF4E75" w:rsidRDefault="00000000">
      <w:pPr>
        <w:widowControl w:val="0"/>
        <w:numPr>
          <w:ilvl w:val="0"/>
          <w:numId w:val="5"/>
        </w:numPr>
        <w:pBdr>
          <w:top w:val="nil"/>
          <w:left w:val="nil"/>
          <w:bottom w:val="nil"/>
          <w:right w:val="nil"/>
          <w:between w:val="nil"/>
        </w:pBdr>
        <w:spacing w:line="360" w:lineRule="auto"/>
        <w:jc w:val="both"/>
        <w:rPr>
          <w:b/>
          <w:color w:val="000000"/>
          <w:sz w:val="24"/>
          <w:szCs w:val="24"/>
        </w:rPr>
      </w:pPr>
      <w:r>
        <w:rPr>
          <w:rFonts w:ascii="Times New Roman" w:eastAsia="Times New Roman" w:hAnsi="Times New Roman" w:cs="Times New Roman"/>
          <w:b/>
          <w:color w:val="000000"/>
          <w:sz w:val="24"/>
          <w:szCs w:val="24"/>
        </w:rPr>
        <w:t xml:space="preserve">Convención sobre la Eliminación de Todas las Formas de Discriminación contra la Mujer (CEDAW) </w:t>
      </w:r>
    </w:p>
    <w:p w14:paraId="16F70866" w14:textId="77777777" w:rsidR="00EF4E75" w:rsidRDefault="00000000">
      <w:pPr>
        <w:widowControl w:val="0"/>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CEDAW (1979), también conocida como «Carta Internacional de los Derechos de las Mujeres», fue adoptada por la Asamblea General de la ONU en 1979. Este tratado exige a los Estados que adopten medidas jurídicas, administrativas y legislativas para poner fin a la discriminación contra la mujer en todas sus manifestaciones. La CEDAW fomenta la igualdad en las esferas política, económica, social y cultural y establece la obligación del Estado de cambiar los sistemas que sostienen la desigualdad (Naciones Unidas, 1979).</w:t>
      </w:r>
    </w:p>
    <w:p w14:paraId="1E09EFFF" w14:textId="77777777" w:rsidR="00EF4E75" w:rsidRDefault="00000000">
      <w:pPr>
        <w:widowControl w:val="0"/>
        <w:numPr>
          <w:ilvl w:val="0"/>
          <w:numId w:val="5"/>
        </w:numPr>
        <w:pBdr>
          <w:top w:val="nil"/>
          <w:left w:val="nil"/>
          <w:bottom w:val="nil"/>
          <w:right w:val="nil"/>
          <w:between w:val="nil"/>
        </w:pBdr>
        <w:spacing w:line="360" w:lineRule="auto"/>
        <w:jc w:val="both"/>
        <w:rPr>
          <w:b/>
          <w:color w:val="000000"/>
          <w:sz w:val="24"/>
          <w:szCs w:val="24"/>
        </w:rPr>
      </w:pPr>
      <w:r>
        <w:rPr>
          <w:rFonts w:ascii="Times New Roman" w:eastAsia="Times New Roman" w:hAnsi="Times New Roman" w:cs="Times New Roman"/>
          <w:b/>
          <w:color w:val="000000"/>
          <w:sz w:val="24"/>
          <w:szCs w:val="24"/>
        </w:rPr>
        <w:t>Plataforma de Acción de Beijing – ONU, 1995. Acordada en la IV Conferencia Mundial sobre la Mujer.</w:t>
      </w:r>
    </w:p>
    <w:p w14:paraId="7E48D34A"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Plataforma de Acción de Pekín, resultado de la IV Conferencia Mundial sobre la Mujer, es uno de los acuerdos internacionales más significativos en materia de igualdad de género. Este documento identifica dos áreas críticas de preocupación: la pobreza, la educación, la salud, la violencia contra las mujeres, la participación política y los derechos humanos de las mujeres. La plataforma fomenta políticas públicas sensibles al género y presiona a los gobiernos para que apliquen políticas sensibles al género y garanticen la plena participación de las mujeres en todos los niveles de toma de decisiones (ONU Mujeres, 1995).</w:t>
      </w:r>
    </w:p>
    <w:p w14:paraId="4ADEACED" w14:textId="77777777" w:rsidR="00EF4E75" w:rsidRDefault="00000000">
      <w:pPr>
        <w:widowControl w:val="0"/>
        <w:numPr>
          <w:ilvl w:val="0"/>
          <w:numId w:val="5"/>
        </w:numPr>
        <w:pBdr>
          <w:top w:val="nil"/>
          <w:left w:val="nil"/>
          <w:bottom w:val="nil"/>
          <w:right w:val="nil"/>
          <w:between w:val="nil"/>
        </w:pBdr>
        <w:spacing w:line="360" w:lineRule="auto"/>
        <w:jc w:val="both"/>
        <w:rPr>
          <w:b/>
          <w:color w:val="000000"/>
          <w:sz w:val="24"/>
          <w:szCs w:val="24"/>
        </w:rPr>
      </w:pPr>
      <w:r>
        <w:rPr>
          <w:rFonts w:ascii="Times New Roman" w:eastAsia="Times New Roman" w:hAnsi="Times New Roman" w:cs="Times New Roman"/>
          <w:b/>
          <w:color w:val="000000"/>
          <w:sz w:val="24"/>
          <w:szCs w:val="24"/>
        </w:rPr>
        <w:t xml:space="preserve">Convenios de la OIT con enfoque de género (Organización Internacional del Trabajo) </w:t>
      </w:r>
    </w:p>
    <w:p w14:paraId="5B9CE16E" w14:textId="77777777" w:rsidR="00EF4E75" w:rsidRDefault="00000000">
      <w:pPr>
        <w:widowControl w:val="0"/>
        <w:spacing w:after="240" w:line="360" w:lineRule="auto"/>
        <w:ind w:firstLine="720"/>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La Organización Internacional de Trabajadores (OIT) ha adoptado una serie de convenios destinados a promover la igualdad de género en el lugar de trabajo. Entre ellos se encuentran el Convenio 100 sobre igualdad de retribución (1951), el Convenio 111 sobre </w:t>
      </w:r>
      <w:r>
        <w:rPr>
          <w:rFonts w:ascii="Times New Roman" w:eastAsia="Times New Roman" w:hAnsi="Times New Roman" w:cs="Times New Roman"/>
          <w:sz w:val="24"/>
          <w:szCs w:val="24"/>
        </w:rPr>
        <w:lastRenderedPageBreak/>
        <w:t>discriminación en materia de empleo y ocupación (1958) y el más reciente Convenio 190 sobre violencia y agresiones en el lugar de trabajo (2019). Estos instrumentos internacionales establecen obligaciones claras para prevenir y poner fin a las prácticas discriminatorias y garantizar entornos de trabajo seguros y equitativos para las mujeres.</w:t>
      </w:r>
    </w:p>
    <w:p w14:paraId="2C8110EE" w14:textId="77777777" w:rsidR="00EF4E75" w:rsidRDefault="00000000">
      <w:pPr>
        <w:widowControl w:val="0"/>
        <w:numPr>
          <w:ilvl w:val="0"/>
          <w:numId w:val="5"/>
        </w:numPr>
        <w:pBdr>
          <w:top w:val="nil"/>
          <w:left w:val="nil"/>
          <w:bottom w:val="nil"/>
          <w:right w:val="nil"/>
          <w:between w:val="nil"/>
        </w:pBdr>
        <w:spacing w:line="360" w:lineRule="auto"/>
        <w:jc w:val="both"/>
        <w:rPr>
          <w:b/>
          <w:color w:val="000000"/>
          <w:sz w:val="24"/>
          <w:szCs w:val="24"/>
        </w:rPr>
      </w:pPr>
      <w:r>
        <w:rPr>
          <w:rFonts w:ascii="Times New Roman" w:eastAsia="Times New Roman" w:hAnsi="Times New Roman" w:cs="Times New Roman"/>
          <w:b/>
          <w:color w:val="000000"/>
          <w:sz w:val="24"/>
          <w:szCs w:val="24"/>
        </w:rPr>
        <w:t>Objetivos de Desarrollo Sostenible (ODS) – Agenda 2030 de la ONU</w:t>
      </w:r>
    </w:p>
    <w:p w14:paraId="6E733760" w14:textId="77777777" w:rsidR="00EF4E75" w:rsidRDefault="00000000">
      <w:pPr>
        <w:widowControl w:val="0"/>
        <w:spacing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Aprobados en 2015, los ODS son un componente de la Agenda 2030 para el Desarrollo Sostenible, una iniciativa mundial para erradicar la pobreza y salvaguardar el medio ambiente. El ODS 5 se centra en «lograr la igualdad de género y alentar a todas las mujeres y los niños», y está relacionado de forma transversal con otros objetivos como el acceso a la educación (ODS 4), el trabajo decente (ODS 8) y la reducción de las desigualdades (ODS 10). Según la Agenda 2030, la igualdad de género es un requisito previo para lograr el desarrollo sostenible y la paz (Naciones Unidas, 2015).</w:t>
      </w:r>
    </w:p>
    <w:p w14:paraId="55205190" w14:textId="77777777" w:rsidR="00EF4E75" w:rsidRDefault="00000000">
      <w:pPr>
        <w:widowControl w:val="0"/>
        <w:numPr>
          <w:ilvl w:val="0"/>
          <w:numId w:val="5"/>
        </w:numPr>
        <w:spacing w:line="360" w:lineRule="auto"/>
        <w:jc w:val="both"/>
        <w:rPr>
          <w:b/>
          <w:color w:val="000000"/>
          <w:sz w:val="24"/>
          <w:szCs w:val="24"/>
        </w:rPr>
      </w:pPr>
      <w:r>
        <w:rPr>
          <w:rFonts w:ascii="Times New Roman" w:eastAsia="Times New Roman" w:hAnsi="Times New Roman" w:cs="Times New Roman"/>
          <w:b/>
          <w:color w:val="000000"/>
          <w:sz w:val="24"/>
          <w:szCs w:val="24"/>
        </w:rPr>
        <w:t>Principios Rectores sobre las Empresas y los Derechos Humanos (ONU, 2011)</w:t>
      </w:r>
    </w:p>
    <w:p w14:paraId="53E5EC89" w14:textId="77777777" w:rsidR="00EF4E75" w:rsidRDefault="00000000">
      <w:pPr>
        <w:widowControl w:val="0"/>
        <w:spacing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Estos principios, elaborados por el Consejo de Derechos Humanos de la ONU, establecen tanto la obligación de los Estados de proteger los derechos humanos como el deber de las empresas de hacer lo mismo. Aunque no se centran exclusivamente en el género, los principios reconocen la necesidad de tener en cuenta los riesgos específicos a los que se enfrentan las mujeres en el lugar de trabajo y abogan por políticas que garanticen eficazmente su participación y protección. Esto incluye políticas empresariales neutras desde el punto de vista del género que respeten los derechos de los trabajadores, la no discriminación y la igualdad de oportunidades (Naciones Unidas, 2011).</w:t>
      </w:r>
    </w:p>
    <w:p w14:paraId="36B01AD6" w14:textId="77777777" w:rsidR="00EF4E75" w:rsidRDefault="00000000">
      <w:pPr>
        <w:widowControl w:val="0"/>
        <w:numPr>
          <w:ilvl w:val="0"/>
          <w:numId w:val="4"/>
        </w:numPr>
        <w:spacing w:after="16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sz w:val="24"/>
          <w:szCs w:val="24"/>
        </w:rPr>
        <w:t xml:space="preserve">Marco normativo sobre RSE y enfoque de género en Colombia </w:t>
      </w:r>
    </w:p>
    <w:p w14:paraId="1D026022" w14:textId="77777777" w:rsidR="00EF4E75" w:rsidRDefault="00000000">
      <w:pPr>
        <w:widowControl w:val="0"/>
        <w:spacing w:line="36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 Colombia, el marco jurídico y normativo que sustenta la responsabilidad social empresarial (RSE) se fortalece a través de instrumentos internacionales que conforman el </w:t>
      </w:r>
      <w:r>
        <w:rPr>
          <w:rFonts w:ascii="Times New Roman" w:eastAsia="Times New Roman" w:hAnsi="Times New Roman" w:cs="Times New Roman"/>
          <w:sz w:val="24"/>
          <w:szCs w:val="24"/>
        </w:rPr>
        <w:lastRenderedPageBreak/>
        <w:t xml:space="preserve">bloque constitucional y guían las prácticas empresariales responsables. Uno de los principales referentes es el Pacto Global de las Naciones Unidas, al cual el país está adherido, que establece principios fundamentales en derechos humanos, normas laborales, medio ambiente y lucha contra la corrupción, promoviendo un enfoque ético en la gestión empresarial. </w:t>
      </w:r>
    </w:p>
    <w:p w14:paraId="7F2EAA66" w14:textId="77777777" w:rsidR="00EF4E75" w:rsidRDefault="00000000">
      <w:pPr>
        <w:widowControl w:val="0"/>
        <w:spacing w:line="36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Además, las normas ISO, especialmente la ISO 26000, aunque no son vinculantes, ofrecen directrices ampliamente adoptadas para implementar prácticas de RSE en las empresas. En el ámbito laboral, los convenios ratificados por Colombia en la Organización Internacional del Trabajo (OIT) y la Declaración Tripartita de Principios sobre Empresas Multinacionales y Política Social refuerzan el compromiso con la equidad, la igualdad de oportunidades y la protección de los derechos de los trabajadores. </w:t>
      </w:r>
    </w:p>
    <w:p w14:paraId="3C4C1825" w14:textId="77777777" w:rsidR="00EF4E75" w:rsidRDefault="00000000">
      <w:pPr>
        <w:widowControl w:val="0"/>
        <w:spacing w:line="36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Por otro lado, el Acuerdo de París, aunque centrado en temas climáticos, impulsa a las empresas a adoptar estrategias sostenibles que contribuyan a mitigar el impacto ambiental. Este conjunto de instrumentos internacionales refuerza la visión de la RSE como un elemento clave para el desarrollo sostenible y el bienestar colectivo en el país. A continuación, se definen estas normas.</w:t>
      </w:r>
    </w:p>
    <w:p w14:paraId="4E471E7B" w14:textId="77777777" w:rsidR="00EF4E75" w:rsidRDefault="00000000">
      <w:pPr>
        <w:numPr>
          <w:ilvl w:val="0"/>
          <w:numId w:val="1"/>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Pacto Global de las Naciones Unidas (Global Compact):</w:t>
      </w:r>
      <w:r>
        <w:rPr>
          <w:rFonts w:ascii="Times New Roman" w:eastAsia="Times New Roman" w:hAnsi="Times New Roman" w:cs="Times New Roman"/>
          <w:sz w:val="24"/>
          <w:szCs w:val="24"/>
        </w:rPr>
        <w:t xml:space="preserve"> Colombia es un país signatario del Pacto Global de las Naciones Unidas, que establece principios para las empresas en áreas como derechos humanos, normas laborales, medio ambiente y lucha contra la corrupción. El Pacto Global es uno de los marcos internacionales más importantes para la promoción de la RSE (Pacto Global Colombia, 2018).</w:t>
      </w:r>
    </w:p>
    <w:p w14:paraId="196922C3" w14:textId="77777777" w:rsidR="00EF4E75" w:rsidRDefault="00000000">
      <w:pPr>
        <w:numPr>
          <w:ilvl w:val="0"/>
          <w:numId w:val="1"/>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Normas ISO sobre Responsabilidad Social: </w:t>
      </w:r>
      <w:r>
        <w:rPr>
          <w:rFonts w:ascii="Times New Roman" w:eastAsia="Times New Roman" w:hAnsi="Times New Roman" w:cs="Times New Roman"/>
          <w:sz w:val="24"/>
          <w:szCs w:val="24"/>
        </w:rPr>
        <w:t>Pese a no ser tratados internacionales, las normas ISO 26000 y otras relacionadas con la RSE son ampliamente utilizadas en todo el mundo, incluyendo Colombia, para guiar las prácticas de RSE en las empresas y organizaciones (ISO 26000, 2011).</w:t>
      </w:r>
    </w:p>
    <w:p w14:paraId="716750A7" w14:textId="77777777" w:rsidR="00EF4E75" w:rsidRDefault="00000000">
      <w:pPr>
        <w:widowControl w:val="0"/>
        <w:numPr>
          <w:ilvl w:val="0"/>
          <w:numId w:val="1"/>
        </w:numPr>
        <w:spacing w:line="360" w:lineRule="auto"/>
        <w:ind w:left="714" w:hanging="357"/>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Convenios de la Organización Internacional del Trabajo (OIT): </w:t>
      </w:r>
      <w:r>
        <w:rPr>
          <w:rFonts w:ascii="Times New Roman" w:eastAsia="Times New Roman" w:hAnsi="Times New Roman" w:cs="Times New Roman"/>
          <w:sz w:val="24"/>
          <w:szCs w:val="24"/>
        </w:rPr>
        <w:t xml:space="preserve">Colombia ha ratificado varios convenios de la OIT que están relacionados con cuestiones laborales </w:t>
      </w:r>
      <w:r>
        <w:rPr>
          <w:rFonts w:ascii="Times New Roman" w:eastAsia="Times New Roman" w:hAnsi="Times New Roman" w:cs="Times New Roman"/>
          <w:sz w:val="24"/>
          <w:szCs w:val="24"/>
        </w:rPr>
        <w:lastRenderedPageBreak/>
        <w:t>y derechos de los trabajadores, lo que influye en las prácticas de RSE de las empresas (Organización Internacional del Trabajo, 2016).</w:t>
      </w:r>
    </w:p>
    <w:p w14:paraId="238E1141" w14:textId="77777777" w:rsidR="00EF4E75" w:rsidRDefault="00000000">
      <w:pPr>
        <w:widowControl w:val="0"/>
        <w:numPr>
          <w:ilvl w:val="0"/>
          <w:numId w:val="1"/>
        </w:numPr>
        <w:spacing w:line="360" w:lineRule="auto"/>
        <w:ind w:left="714" w:hanging="357"/>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Declaración Tripartita de Principios sobre Empresas Multinacionales y Política Social (Declaración de la OIT): </w:t>
      </w:r>
      <w:r>
        <w:rPr>
          <w:rFonts w:ascii="Times New Roman" w:eastAsia="Times New Roman" w:hAnsi="Times New Roman" w:cs="Times New Roman"/>
          <w:sz w:val="24"/>
          <w:szCs w:val="24"/>
        </w:rPr>
        <w:t>Colombia es un miembro de la OIT, y esta declaración establece principios para las empresas multinacionales en relación con el empleo, la igualdad de oportunidades y otros temas de importancia para la RSE (Organización Internacional del Trabajo, 2016).</w:t>
      </w:r>
    </w:p>
    <w:p w14:paraId="1C38A463" w14:textId="77777777" w:rsidR="00EF4E75" w:rsidRDefault="00000000">
      <w:pPr>
        <w:numPr>
          <w:ilvl w:val="0"/>
          <w:numId w:val="1"/>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Acuerdo de París (Acuerdo Climático de París): </w:t>
      </w:r>
      <w:r>
        <w:rPr>
          <w:rFonts w:ascii="Times New Roman" w:eastAsia="Times New Roman" w:hAnsi="Times New Roman" w:cs="Times New Roman"/>
          <w:sz w:val="24"/>
          <w:szCs w:val="24"/>
        </w:rPr>
        <w:t>Aunque no está directamente relacionado con la RSE, el Acuerdo de París, del cual Colombia es signataria, aborda cuestiones ambientales y el cambio climático, lo que puede influir en las prácticas sostenibles de las empresas. UNFCCC (2016)</w:t>
      </w:r>
    </w:p>
    <w:p w14:paraId="44071F2A" w14:textId="77777777" w:rsidR="00EF4E75" w:rsidRDefault="00000000">
      <w:pPr>
        <w:spacing w:line="36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Por su parte, la Constitución Política de Colombia establece principios fundamentales que destacan la responsabilidad de las entidades privadas hacia la colectividad, enmarcando su rol dentro del desarrollo social, cultural y ambiental del país. Por ejemplo, el artículo 70 subraya la importancia de proteger y promover la diversidad cultural y el patrimonio de la nación. Este mandato invita a las empresas a desempeñar un papel activo en la preservación de la cultura, alineándose con los objetivos de la Responsabilidad Social Empresarial (RSE) para fortalecer las comunidades locales y fomentar el respeto por las tradiciones.</w:t>
      </w:r>
    </w:p>
    <w:p w14:paraId="604366BF" w14:textId="77777777" w:rsidR="00EF4E75" w:rsidRDefault="00000000">
      <w:pPr>
        <w:spacing w:line="36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Constitución Política de Colombia establece principios fundamentales que destacan la responsabilidad de las entidades privadas hacia la colectividad, enmarcando su rol dentro del desarrollo social, cultural y ambiental del país. Por ejemplo, el artículo 70 subraya la importancia de proteger y promover la diversidad cultural y el patrimonio de la nación. Este mandato invita a las empresas a desempeñar un papel activo en la preservación de la cultura, alineándose con los objetivos de la responsabilidad social empresarial (RSE) para fortalecer las comunidades locales y fomentar el respeto por las tradiciones.</w:t>
      </w:r>
    </w:p>
    <w:p w14:paraId="14C99B16" w14:textId="77777777" w:rsidR="00EF4E75" w:rsidRDefault="00000000">
      <w:pPr>
        <w:spacing w:line="36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 el ámbito económico, el artículo 333 reconoce la libre competencia como un derecho esencial que debe ser promovido de manera ética y justa. Las empresas, bajo este </w:t>
      </w:r>
      <w:r>
        <w:rPr>
          <w:rFonts w:ascii="Times New Roman" w:eastAsia="Times New Roman" w:hAnsi="Times New Roman" w:cs="Times New Roman"/>
          <w:sz w:val="24"/>
          <w:szCs w:val="24"/>
        </w:rPr>
        <w:lastRenderedPageBreak/>
        <w:t>marco, tienen el deber de evitar prácticas anticompetitivas que puedan perjudicar a la sociedad, garantizando así un entorno comercial equitativo y transparente.</w:t>
      </w:r>
    </w:p>
    <w:p w14:paraId="154F4B79" w14:textId="77777777" w:rsidR="00EF4E75" w:rsidRDefault="00000000">
      <w:pPr>
        <w:spacing w:line="36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Asimismo, el artículo 79 garantiza el derecho de los ciudadanos a disfrutar de un ambiente sano, estableciendo que el Estado debe proteger la calidad del entorno natural y promover la educación para su cuidado. Este compromiso implica que las empresas, como actores económicos clave, adopten prácticas responsables que contribuyan a la sostenibilidad ambiental y al bienestar de las comunidades.</w:t>
      </w:r>
    </w:p>
    <w:p w14:paraId="1E0F2871" w14:textId="77777777" w:rsidR="00EF4E75" w:rsidRDefault="00000000">
      <w:pPr>
        <w:spacing w:line="36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Por otro lado, el artículo 334 dispone que la propiedad privada tiene una función social, lo que significa que su uso debe estar orientado hacia el bienestar colectivo. Esto refuerza la idea de que las entidades privadas tienen obligaciones con la sociedad, incluyendo el apoyo al desarrollo sostenible y la mejora de la calidad de vida.</w:t>
      </w:r>
    </w:p>
    <w:p w14:paraId="468F3577" w14:textId="77777777" w:rsidR="00EF4E75" w:rsidRDefault="00000000">
      <w:pPr>
        <w:spacing w:line="36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Finalmente, el artículo 366 señala que tanto el Estado como la sociedad en general son responsables de preservar el medio ambiente y promover el desarrollo sostenible. En este contexto, se reconoce la importancia de que las empresas adopten prácticas responsables que contribuyan a la conservación ambiental y al equilibrio entre el progreso económico y la sostenibilidad ecológica.</w:t>
      </w:r>
    </w:p>
    <w:p w14:paraId="7F02FBD4" w14:textId="77777777" w:rsidR="00EF4E75" w:rsidRDefault="00000000">
      <w:pPr>
        <w:spacing w:line="36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 suma, estos principios constitucionales destacan que las empresas no solo tienen objetivos económicos, sino también compromisos éticos y sociales que las vinculan directamente con el bienestar de la colectividad y el desarrollo integral de la sociedad colombiana.</w:t>
      </w:r>
    </w:p>
    <w:p w14:paraId="3083FFE8" w14:textId="77777777" w:rsidR="00EF4E75" w:rsidRDefault="00000000">
      <w:pPr>
        <w:spacing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Si bien lo anterior no especifica directamente la RSE, proporciona un marco legal y principios que respaldan la idea de que las empresas tienen una responsabilidad social y ética en la sociedad. La promoción y regulación de la RSE se lleva a cabo principalmente a través de acuerdos voluntarios, buenas prácticas empresariales y colaboraciones entre el Gobierno, las empresas y la sociedad civil, como los Códigos de Ética y Buenas Prácticas Empresariales, a nivel nacional, muchas empresas y sectores han adoptado códigos de ética </w:t>
      </w:r>
      <w:r>
        <w:rPr>
          <w:rFonts w:ascii="Times New Roman" w:eastAsia="Times New Roman" w:hAnsi="Times New Roman" w:cs="Times New Roman"/>
          <w:sz w:val="24"/>
          <w:szCs w:val="24"/>
        </w:rPr>
        <w:lastRenderedPageBreak/>
        <w:t xml:space="preserve">y buenas prácticas empresariales, que buscan promover la responsabilidad social y la sostenibilidad en sus actividades. </w:t>
      </w:r>
    </w:p>
    <w:p w14:paraId="52FD45EA" w14:textId="77777777" w:rsidR="00EF4E75" w:rsidRDefault="00000000">
      <w:pPr>
        <w:widowControl w:val="0"/>
        <w:spacing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 el ámbito económico, el artículo 333 reconoce la libre competencia como un derecho esencial que debe ser promovido de manera ética y justa. Las empresas, bajo este marco, tienen el deber de evitar prácticas anticompetitivas que puedan perjudicar a la sociedad, garantizando así un entorno comercial equitativo y transparente.</w:t>
      </w:r>
    </w:p>
    <w:p w14:paraId="59700BA8" w14:textId="77777777" w:rsidR="00EF4E75" w:rsidRDefault="00000000">
      <w:pPr>
        <w:widowControl w:val="0"/>
        <w:spacing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Asimismo, el artículo 79 garantiza el derecho de los ciudadanos a disfrutar de un ambiente sano, estableciendo que el Estado debe proteger la calidad del entorno natural y promover la educación para su cuidado. Este compromiso implica que las empresas, como actores económicos clave, adopten prácticas responsables que contribuyan a la sostenibilidad ambiental y al bienestar de las comunidades.</w:t>
      </w:r>
    </w:p>
    <w:p w14:paraId="3A7C0A37" w14:textId="77777777" w:rsidR="00EF4E75" w:rsidRDefault="00000000">
      <w:pPr>
        <w:spacing w:line="36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Por otro lado, el artículo 334 dispone que la propiedad privada tiene una función social, lo que significa que su uso debe estar orientado hacia el bienestar colectivo. Esto refuerza la idea de que las entidades privadas tienen obligaciones con la sociedad, incluyendo el apoyo al desarrollo sostenible y la mejora de la calidad de vida.</w:t>
      </w:r>
    </w:p>
    <w:p w14:paraId="43A0C62F" w14:textId="77777777" w:rsidR="00EF4E75" w:rsidRDefault="00000000">
      <w:pPr>
        <w:spacing w:line="36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Finalmente, el artículo 366 señala que tanto el Estado como la sociedad en general son responsables de preservar el medio ambiente y promover el desarrollo sostenible. En este contexto, se reconoce la importancia de que las empresas adopten prácticas responsables que contribuyan a la conservación ambiental y al equilibrio entre el progreso económico y la sostenibilidad ecológica.</w:t>
      </w:r>
    </w:p>
    <w:p w14:paraId="09DFC9A0" w14:textId="77777777" w:rsidR="00EF4E75" w:rsidRDefault="00000000">
      <w:pPr>
        <w:widowControl w:val="0"/>
        <w:spacing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 suma, estos principios constitucionales destacan que las empresas no solo tienen objetivos económicos, sino también compromisos éticos y sociales que las vinculan directamente con el bienestar de la colectividad y el desarrollo integral de la sociedad colombiana. Si bien lo anterior no especifica directamente la RSE, proporciona un marco legal y principios que respaldan la idea de que las empresas tienen una responsabilidad social y ética en la sociedad. La promoción y regulación de la RSE se lleva a cabo principalmente a través de acuerdos voluntarios, buenas prácticas empresariales y colaboraciones entre el </w:t>
      </w:r>
      <w:r>
        <w:rPr>
          <w:rFonts w:ascii="Times New Roman" w:eastAsia="Times New Roman" w:hAnsi="Times New Roman" w:cs="Times New Roman"/>
          <w:sz w:val="24"/>
          <w:szCs w:val="24"/>
        </w:rPr>
        <w:lastRenderedPageBreak/>
        <w:t xml:space="preserve">Gobierno, las empresas y la sociedad civil, como los Códigos de Ética y Buenas Prácticas Empresariales, a nivel nacional, muchas empresas y sectores han adoptado códigos de ética y buenas prácticas empresariales, que buscan promover la responsabilidad social y la sostenibilidad en sus actividades. </w:t>
      </w:r>
    </w:p>
    <w:p w14:paraId="6946BCB7" w14:textId="77777777" w:rsidR="00EF4E75" w:rsidRDefault="00000000">
      <w:pPr>
        <w:spacing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 implementación de la RSE se basa en acuerdos voluntarios, buenas prácticas empresariales y colaboraciones con el sector público y la sociedad civil en Colombia. Así de esta manera, la Carta regula la responsabilidad empresarial, añadiendo también un gran detalle en el artículo, que es, función social, lo cual, más que, aumentar su lucro, es contribuir al bienestar de la sociedad que lo rodea. </w:t>
      </w:r>
    </w:p>
    <w:p w14:paraId="59C29E28" w14:textId="77777777" w:rsidR="00EF4E75" w:rsidRDefault="00EF4E75">
      <w:pPr>
        <w:spacing w:line="360" w:lineRule="auto"/>
        <w:ind w:firstLine="709"/>
        <w:jc w:val="both"/>
        <w:rPr>
          <w:rFonts w:ascii="Times New Roman" w:eastAsia="Times New Roman" w:hAnsi="Times New Roman" w:cs="Times New Roman"/>
          <w:sz w:val="24"/>
          <w:szCs w:val="24"/>
        </w:rPr>
      </w:pPr>
    </w:p>
    <w:p w14:paraId="1A3A5108" w14:textId="77777777" w:rsidR="00EF4E75" w:rsidRDefault="00000000">
      <w:pPr>
        <w:widowControl w:val="0"/>
        <w:numPr>
          <w:ilvl w:val="0"/>
          <w:numId w:val="3"/>
        </w:numPr>
        <w:pBdr>
          <w:top w:val="nil"/>
          <w:left w:val="nil"/>
          <w:bottom w:val="nil"/>
          <w:right w:val="nil"/>
          <w:between w:val="nil"/>
        </w:pBdr>
        <w:spacing w:after="240" w:line="36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sz w:val="24"/>
          <w:szCs w:val="24"/>
        </w:rPr>
        <w:t xml:space="preserve"> RSE CON ENFOQUE DE GÉNERO EN COLOMBIA SEGÚN SELLO EQUIPARES</w:t>
      </w:r>
    </w:p>
    <w:p w14:paraId="4A4353FB" w14:textId="77777777" w:rsidR="00EF4E75" w:rsidRDefault="00000000">
      <w:pPr>
        <w:widowControl w:val="0"/>
        <w:numPr>
          <w:ilvl w:val="0"/>
          <w:numId w:val="7"/>
        </w:numPr>
        <w:pBdr>
          <w:top w:val="nil"/>
          <w:left w:val="nil"/>
          <w:bottom w:val="nil"/>
          <w:right w:val="nil"/>
          <w:between w:val="nil"/>
        </w:pBdr>
        <w:spacing w:after="160" w:line="360" w:lineRule="auto"/>
      </w:pPr>
      <w:r>
        <w:rPr>
          <w:rFonts w:ascii="Times New Roman" w:eastAsia="Times New Roman" w:hAnsi="Times New Roman" w:cs="Times New Roman"/>
          <w:b/>
          <w:color w:val="000000"/>
          <w:sz w:val="24"/>
          <w:szCs w:val="24"/>
        </w:rPr>
        <w:t xml:space="preserve">Estado actual de las políticas de RSE </w:t>
      </w:r>
    </w:p>
    <w:p w14:paraId="13F9A73E" w14:textId="77777777" w:rsidR="00EF4E75" w:rsidRDefault="00000000">
      <w:pPr>
        <w:widowControl w:val="0"/>
        <w:spacing w:before="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escala mundial, la Responsabilidad Social Empresarial (RSE) se ha convertido en un modelo más amplio que tiene en cuenta no sólo los efectos económicos y medioambientales de las empresas, sino también su compromiso con la equidad y los derechos humanos. En este contexto, el enfoque de género se ha convertido en una dimensión crucial para evaluar el verdadero impacto social de las organizaciones.</w:t>
      </w:r>
    </w:p>
    <w:p w14:paraId="6B91ADF1"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Organizaciones como la OCDE, el Pacto Global de Naciones Unidas y la Organización Internacional del Trabajo (OIT) promueven normas de igualdad laboral que animan a las empresas a eliminar las barreras estructurales basadas en el género. Iniciativas como los Principios para el Empoderamiento de las Mujeres (WEP) y los informes de sostenibilidad con indicadores de género son cada vez más adoptadas por las empresas multinacionales que operan bajo normas ESG (medioambientales, sociales y de gobernanza).</w:t>
      </w:r>
    </w:p>
    <w:p w14:paraId="4ECAEE23"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Asimismo, las empresas multinacionales que operan con arreglo a normas ESG (medioambientales, sociales y de gobernanza) adoptan cada vez más iniciativas como los </w:t>
      </w:r>
      <w:r>
        <w:rPr>
          <w:rFonts w:ascii="Times New Roman" w:eastAsia="Times New Roman" w:hAnsi="Times New Roman" w:cs="Times New Roman"/>
          <w:sz w:val="24"/>
          <w:szCs w:val="24"/>
        </w:rPr>
        <w:lastRenderedPageBreak/>
        <w:t>Principios para el Empoderamiento de las Mujeres (WEP) e informes de sostenibilidad con indicadores de género.</w:t>
      </w:r>
    </w:p>
    <w:p w14:paraId="5A1E8AA8" w14:textId="77777777" w:rsidR="00EF4E75" w:rsidRDefault="00000000">
      <w:pPr>
        <w:widowControl w:val="0"/>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Los efectos del programa han llamado la atención en el ámbito regional como modelo replicable, posicionando a Colombia como líder en la implementación de políticas de RSE con enfoque de género en el sector empresarial. Organismos multilaterales como el PNUD y la Cooperación Alemana (GIZ) han apoyado su consolidación, demostrando el potencial de estas políticas no sólo como iniciativas de justicia social sino también como estrategias de sostenibilidad y competitividad empresarial.</w:t>
      </w:r>
    </w:p>
    <w:p w14:paraId="60BA35FB" w14:textId="77777777" w:rsidR="00EF4E75" w:rsidRDefault="00000000">
      <w:pPr>
        <w:widowControl w:val="0"/>
        <w:numPr>
          <w:ilvl w:val="0"/>
          <w:numId w:val="7"/>
        </w:numPr>
        <w:pBdr>
          <w:top w:val="nil"/>
          <w:left w:val="nil"/>
          <w:bottom w:val="nil"/>
          <w:right w:val="nil"/>
          <w:between w:val="nil"/>
        </w:pBdr>
        <w:spacing w:after="160" w:line="360" w:lineRule="auto"/>
      </w:pPr>
      <w:r>
        <w:rPr>
          <w:rFonts w:ascii="Times New Roman" w:eastAsia="Times New Roman" w:hAnsi="Times New Roman" w:cs="Times New Roman"/>
          <w:b/>
          <w:color w:val="000000"/>
          <w:sz w:val="24"/>
          <w:szCs w:val="24"/>
        </w:rPr>
        <w:t>Estado actual de las políticas de RSE con enfoque de género en Colombia</w:t>
      </w:r>
    </w:p>
    <w:p w14:paraId="62B5CE0D"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 marco legal para la Responsabilidad Social Empresarial en Colombia es amplio. No obstante, la aplicación conceptual en las empresas es exigible de forma gradual y depende de los contextos socioculturales, de los tipos de procesos que lleven a cabo las empresas y también del impacto medioambiental, referente a la igualdad de género.</w:t>
      </w:r>
    </w:p>
    <w:p w14:paraId="73AEA9D4"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 acuerdo con los resultados de la Encuesta de Equidad de Género de la Asociación Nacional de Empresarios de Colombia (ANDI, 2019), el 75% de los cargos en juntas directivas son desempeñados por hombres y solamente el 25% por mujeres. La caracterización por cargos evidencia que, en los puestos de segundo nivel, equivalentes a vicepresidentes, y los cargos de tercer nivel, como jefes o coordinadores, presentan un mejor equilibrio en cuanto a la composición de hombres y mujeres.</w:t>
      </w:r>
    </w:p>
    <w:p w14:paraId="0EB61371"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 esta forma, a pesar de la brecha existente, el sector privado ha enfocado sus esfuerzos en implementar estrategias e iniciativas que promuevan la equidad de género en Colombia. El 70,5% de los encuestados reportaron que cuentan con una política de prevención y atención del acoso sexual en el lugar de trabajo; el 64,5% señala tablas de remuneración basadas en las capacidades para ambos géneros; el 58,5% indica estrategias para el desarrollo de habilidades blandas para hombres y mujeres; y el 53,5% reporta estrategias de utilización de jornadas flexibles. </w:t>
      </w:r>
    </w:p>
    <w:p w14:paraId="7A149F67"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Además, existen otras iniciativas mencionadas por los empresarios en la realización de las encuestas que muestran resultados de avance referente a la implementación de políticas que buscan reducir el sexismo y la brecha de género dentro de las organizaciones (ANDI, 2019). Estas son las relacionadas con el código de vestuario, la cual, se encuentra implementada en un 44,3%, políticas de equidad de género (42,8%), teletrabajo (38,8%) y manual de comunicación no sexista (25,5%).</w:t>
      </w:r>
    </w:p>
    <w:p w14:paraId="04342BF5" w14:textId="77777777" w:rsidR="00EF4E75" w:rsidRDefault="00000000">
      <w:pPr>
        <w:numPr>
          <w:ilvl w:val="0"/>
          <w:numId w:val="7"/>
        </w:numPr>
        <w:pBdr>
          <w:top w:val="nil"/>
          <w:left w:val="nil"/>
          <w:bottom w:val="nil"/>
          <w:right w:val="nil"/>
          <w:between w:val="nil"/>
        </w:pBdr>
        <w:spacing w:before="240" w:line="360" w:lineRule="auto"/>
        <w:rPr>
          <w:color w:val="000000"/>
        </w:rPr>
      </w:pPr>
      <w:r>
        <w:rPr>
          <w:rFonts w:ascii="Times New Roman" w:eastAsia="Times New Roman" w:hAnsi="Times New Roman" w:cs="Times New Roman"/>
          <w:b/>
          <w:color w:val="000000"/>
          <w:sz w:val="24"/>
          <w:szCs w:val="24"/>
        </w:rPr>
        <w:t>Políticas de RSE con enfoque de género promovidas Sello Equipares</w:t>
      </w:r>
    </w:p>
    <w:p w14:paraId="6086FB17" w14:textId="77777777" w:rsidR="00EF4E75" w:rsidRDefault="00000000">
      <w:pPr>
        <w:spacing w:before="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 colaboración con ONU Mujeres, el Ministerio de Trabajo de Colombia lanzó la iniciativa de certificación Sello Equipares, cuyo objetivo es promover la igualdad de género en los lugares de trabajo proporcionando a las organizaciones asistencia técnica que les permita identificar y cerrar las brechas estructurales entre hombres y mujeres. Esta estrategia se alinea con los principios de la Responsabilidad Social Empresarial (RSE), promoviendo una cultura organizacional basada en la igualdad, la inclusión y el respeto de los derechos humanos.</w:t>
      </w:r>
    </w:p>
    <w:p w14:paraId="355B9E30" w14:textId="77777777" w:rsidR="00EF4E75" w:rsidRDefault="00000000">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 programa se desarrolla mediante un modelo de gestión progresiva, en el que las empresas avanzan a través de distintas etapas, que incluyen el diagnóstico, el diseño de planes de acción y la certificación en distintos niveles (Bronce, Plata y Oro), según el grado de implementación de políticas con enfoque de género. Este enfoque va más allá de un cumplimiento formal y busca, en cambio, cambios estructurales en la cultura organizativa para garantizar condiciones de trabajo justas, libres de discriminación y con auténticas oportunidades de desarrollo para todas las personas.</w:t>
      </w:r>
    </w:p>
    <w:p w14:paraId="16D06272" w14:textId="77777777" w:rsidR="00EF4E75" w:rsidRDefault="00000000">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 acuerdo con los estándares internacionales, Equipares está en línea con los Principios Rectores sobre las Empresas y los Derechos Humanos (ONU, 2011), que instan al Estado a proteger los derechos de los trabajadores a través de políticas públicas efectivas como esta certificación. La obligación de las empresas de respetar los derechos humanos en el lugar de trabajo a través de prácticas inclusivas y no discriminatorias, la disponibilidad de </w:t>
      </w:r>
      <w:r>
        <w:rPr>
          <w:rFonts w:ascii="Times New Roman" w:eastAsia="Times New Roman" w:hAnsi="Times New Roman" w:cs="Times New Roman"/>
          <w:sz w:val="24"/>
          <w:szCs w:val="24"/>
        </w:rPr>
        <w:lastRenderedPageBreak/>
        <w:t xml:space="preserve">mecanismos de reparación, facilitando entornos seguros y procedimientos que prevengan las agresiones sexuales y la violencia de género. </w:t>
      </w:r>
    </w:p>
    <w:p w14:paraId="535D5C12" w14:textId="77777777" w:rsidR="00EF4E75" w:rsidRDefault="00000000">
      <w:pPr>
        <w:spacing w:after="240" w:line="360" w:lineRule="auto"/>
        <w:ind w:firstLine="720"/>
        <w:jc w:val="both"/>
        <w:rPr>
          <w:rFonts w:ascii="Times New Roman" w:eastAsia="Times New Roman" w:hAnsi="Times New Roman" w:cs="Times New Roman"/>
          <w:b/>
          <w:sz w:val="24"/>
          <w:szCs w:val="24"/>
          <w:highlight w:val="yellow"/>
        </w:rPr>
      </w:pPr>
      <w:r>
        <w:rPr>
          <w:rFonts w:ascii="Times New Roman" w:eastAsia="Times New Roman" w:hAnsi="Times New Roman" w:cs="Times New Roman"/>
          <w:sz w:val="24"/>
          <w:szCs w:val="24"/>
        </w:rPr>
        <w:t>De este modo, Equipares no sólo ayuda a cerrar las brechas de género, sino que también transforma a las empresas en agentes de cambio dedicados al desarrollo sostenible y la transformación social. Al implantar estas certificaciones, las organizaciones no solo cumplen las normas legales y éticas, sino que mejoran su reputación corporativa, su productividad y su capacidad para ajustarse a los retos de un mercado global cada vez más concienciado con la equidad y la diversidad.</w:t>
      </w:r>
    </w:p>
    <w:p w14:paraId="3FA20245" w14:textId="77777777" w:rsidR="00EF4E75" w:rsidRDefault="00000000">
      <w:pPr>
        <w:numPr>
          <w:ilvl w:val="0"/>
          <w:numId w:val="7"/>
        </w:numPr>
        <w:pBdr>
          <w:top w:val="nil"/>
          <w:left w:val="nil"/>
          <w:bottom w:val="nil"/>
          <w:right w:val="nil"/>
          <w:between w:val="nil"/>
        </w:pBdr>
        <w:spacing w:line="240" w:lineRule="auto"/>
        <w:rPr>
          <w:color w:val="000000"/>
        </w:rPr>
      </w:pPr>
      <w:r>
        <w:rPr>
          <w:rFonts w:ascii="Times New Roman" w:eastAsia="Times New Roman" w:hAnsi="Times New Roman" w:cs="Times New Roman"/>
          <w:b/>
          <w:color w:val="000000"/>
          <w:sz w:val="24"/>
          <w:szCs w:val="24"/>
        </w:rPr>
        <w:t xml:space="preserve"> Estudio de casos según Sello Equipares</w:t>
      </w:r>
    </w:p>
    <w:p w14:paraId="453DE1D7" w14:textId="77777777" w:rsidR="00EF4E75" w:rsidRDefault="00EF4E75">
      <w:pPr>
        <w:pBdr>
          <w:top w:val="nil"/>
          <w:left w:val="nil"/>
          <w:bottom w:val="nil"/>
          <w:right w:val="nil"/>
          <w:between w:val="nil"/>
        </w:pBdr>
        <w:spacing w:line="240" w:lineRule="auto"/>
        <w:ind w:left="720"/>
        <w:rPr>
          <w:color w:val="000000"/>
        </w:rPr>
      </w:pPr>
    </w:p>
    <w:p w14:paraId="720DC799"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 colaboración interinstitucional e intersectorial es uno de los pilares en el auge de la inclusión y la reducción de las brechas de género como políticas empresariales. Un ejemplo de ello se dio en el año 2021 en medio de la condecoración que realizó el Ministerio del Trabajo en cabeza del entonces ministro Ángel Custodio Cabrera Báez durante la presidencia de Iván Duque Márquez, otorgando el Sello Oro de “Cierre de brechas” a 5 empresas que finalizaron las etapas del Sello Equipares. Esto demostró mejoras en el Sistema de Gestión de Igualdad de Género y sostenibilidad en la implementación de acciones enmarcadas en un proceso de mejora continua. Dicho honor fue alcanzado por: Colombina, Sanofi Pasteur, Servicios Nutresa, Tenaris </w:t>
      </w:r>
      <w:proofErr w:type="spellStart"/>
      <w:r>
        <w:rPr>
          <w:rFonts w:ascii="Times New Roman" w:eastAsia="Times New Roman" w:hAnsi="Times New Roman" w:cs="Times New Roman"/>
          <w:sz w:val="24"/>
          <w:szCs w:val="24"/>
        </w:rPr>
        <w:t>Tubocaribe</w:t>
      </w:r>
      <w:proofErr w:type="spellEnd"/>
      <w:r>
        <w:rPr>
          <w:rFonts w:ascii="Times New Roman" w:eastAsia="Times New Roman" w:hAnsi="Times New Roman" w:cs="Times New Roman"/>
          <w:sz w:val="24"/>
          <w:szCs w:val="24"/>
        </w:rPr>
        <w:t xml:space="preserve"> y la Caja de Compensación Familiar del Huila. </w:t>
      </w:r>
    </w:p>
    <w:p w14:paraId="15AF3843"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Teniendo en cuenta lo anterior, en la Tabla 1 se relacionan los factores comunes en las políticas empresariales de las cinco empresas que representan los cambios estructurales en materia de género. Es preciso destacar que el primer y más relevante factor compartido se trata de la obtención del sello Equipares es un Sistema de Gestión de Igualdad de Género que otorga una certificación a aquellas empresas y organizaciones que implementan acciones efectivas para el cierre de brechas de género.</w:t>
      </w:r>
    </w:p>
    <w:p w14:paraId="7E0E2998"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Como se aprecia, todas las empresas muestran algún nivel de inclusión en sus procesos de selección. Las que destacan por la inclusión femenina conforme a perfiles o </w:t>
      </w:r>
      <w:r>
        <w:rPr>
          <w:rFonts w:ascii="Times New Roman" w:eastAsia="Times New Roman" w:hAnsi="Times New Roman" w:cs="Times New Roman"/>
          <w:sz w:val="24"/>
          <w:szCs w:val="24"/>
        </w:rPr>
        <w:lastRenderedPageBreak/>
        <w:t>sectores tradicionalmente masculinos son Colombina, Tenaris y Caja de Compensación del Huila. Acerca de la retribución, se encuentra que solo Colombina presenta un modelo de equidad salarial, la empresa Nutresa establece incentivos económicos conforme a metas, lo cual, podría beneficiar la retribución femenina. Por su parte, en el desarrollo empresarial, se aprecia que todas las empresas, excepto de la Caja de Compensación del Huila, relacionan acciones para el desarrollo profesional de las mujeres, sobresale Nutresa con su apoyo a mujeres emprendedoras y Sanofi por tener un enfoque de liderazgo femenino.</w:t>
      </w:r>
    </w:p>
    <w:p w14:paraId="005EA276"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Los programas de formación de género son llevados a cabo por Colombina, Sanofi, Nutresa y Tenaris. La primera empresa ofrece un programa interno transversal y continuo. Asimismo, esta empresa y Nutresa implementan programas orientados al balance laboral y familiar. La Caja de Compensación del Huila brinda apoyo innovador durante el ciclo menstrual.</w:t>
      </w:r>
    </w:p>
    <w:p w14:paraId="498B2E42"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Las cinco empresas reflejan interés en fomentar ambientes laborales inclusivos. El Sello Equipares de Tenaris refleja su compromiso por políticas igualitarias. También, Colombina y Nutresa presentan un enfoque preventivo sobre el acoso laboral y sexual. Por último, solo Colombina, Nutresa, Sanofi y Tenaris incluyen elementos relacionados a la comunicación no sexista mediante campañas, canales específicos o enfoque educativo. La Caja de Compensación del Huila aborda este factor desde la imagen corporativa.</w:t>
      </w:r>
    </w:p>
    <w:p w14:paraId="7B7A65F4" w14:textId="77777777" w:rsidR="00EF4E75" w:rsidRDefault="00EF4E75">
      <w:pPr>
        <w:widowControl w:val="0"/>
        <w:spacing w:line="360" w:lineRule="auto"/>
        <w:ind w:firstLine="720"/>
        <w:jc w:val="both"/>
        <w:rPr>
          <w:rFonts w:ascii="Times New Roman" w:eastAsia="Times New Roman" w:hAnsi="Times New Roman" w:cs="Times New Roman"/>
          <w:sz w:val="24"/>
          <w:szCs w:val="24"/>
        </w:rPr>
      </w:pPr>
    </w:p>
    <w:p w14:paraId="21A630E9" w14:textId="77777777" w:rsidR="00EF4E75" w:rsidRDefault="00EF4E75">
      <w:pPr>
        <w:widowControl w:val="0"/>
        <w:spacing w:line="360" w:lineRule="auto"/>
        <w:ind w:firstLine="720"/>
        <w:jc w:val="both"/>
        <w:rPr>
          <w:rFonts w:ascii="Times New Roman" w:eastAsia="Times New Roman" w:hAnsi="Times New Roman" w:cs="Times New Roman"/>
          <w:sz w:val="24"/>
          <w:szCs w:val="24"/>
        </w:rPr>
      </w:pPr>
    </w:p>
    <w:p w14:paraId="7FAF2A71" w14:textId="77777777" w:rsidR="00EF4E75" w:rsidRDefault="00EF4E75">
      <w:pPr>
        <w:widowControl w:val="0"/>
        <w:spacing w:line="360" w:lineRule="auto"/>
        <w:ind w:firstLine="720"/>
        <w:jc w:val="both"/>
        <w:rPr>
          <w:rFonts w:ascii="Times New Roman" w:eastAsia="Times New Roman" w:hAnsi="Times New Roman" w:cs="Times New Roman"/>
          <w:sz w:val="24"/>
          <w:szCs w:val="24"/>
        </w:rPr>
      </w:pPr>
    </w:p>
    <w:p w14:paraId="7DFC1C0C" w14:textId="77777777" w:rsidR="00EF4E75" w:rsidRDefault="00EF4E75">
      <w:pPr>
        <w:widowControl w:val="0"/>
        <w:spacing w:line="360" w:lineRule="auto"/>
        <w:ind w:firstLine="720"/>
        <w:jc w:val="both"/>
        <w:rPr>
          <w:rFonts w:ascii="Times New Roman" w:eastAsia="Times New Roman" w:hAnsi="Times New Roman" w:cs="Times New Roman"/>
          <w:sz w:val="24"/>
          <w:szCs w:val="24"/>
        </w:rPr>
        <w:sectPr w:rsidR="00EF4E75">
          <w:headerReference w:type="default" r:id="rId12"/>
          <w:footerReference w:type="default" r:id="rId13"/>
          <w:headerReference w:type="first" r:id="rId14"/>
          <w:footerReference w:type="first" r:id="rId15"/>
          <w:pgSz w:w="12240" w:h="15840"/>
          <w:pgMar w:top="1700" w:right="1700" w:bottom="1700" w:left="1700" w:header="720" w:footer="720" w:gutter="0"/>
          <w:pgNumType w:start="0"/>
          <w:cols w:space="720"/>
        </w:sectPr>
      </w:pPr>
    </w:p>
    <w:p w14:paraId="4BCCE0E2" w14:textId="77777777" w:rsidR="00EF4E75" w:rsidRDefault="00000000">
      <w:pPr>
        <w:widowControl w:val="0"/>
        <w:spacing w:line="360" w:lineRule="auto"/>
        <w:jc w:val="both"/>
        <w:rPr>
          <w:rFonts w:ascii="Times New Roman" w:eastAsia="Times New Roman" w:hAnsi="Times New Roman" w:cs="Times New Roman"/>
          <w:b/>
          <w:sz w:val="24"/>
          <w:szCs w:val="24"/>
        </w:rPr>
      </w:pPr>
      <w:bookmarkStart w:id="3" w:name="_ygq6zno6gfh7" w:colFirst="0" w:colLast="0"/>
      <w:bookmarkEnd w:id="3"/>
      <w:r>
        <w:rPr>
          <w:rFonts w:ascii="Times New Roman" w:eastAsia="Times New Roman" w:hAnsi="Times New Roman" w:cs="Times New Roman"/>
          <w:b/>
          <w:sz w:val="24"/>
          <w:szCs w:val="24"/>
        </w:rPr>
        <w:lastRenderedPageBreak/>
        <w:t>Tabla 1.</w:t>
      </w:r>
    </w:p>
    <w:p w14:paraId="0DDC26EE" w14:textId="77777777" w:rsidR="00EF4E75" w:rsidRDefault="00000000">
      <w:pPr>
        <w:widowControl w:val="0"/>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Factores comunes en casos de éxito empresarial sobre equidad de género.</w:t>
      </w:r>
      <w:r>
        <w:rPr>
          <w:rFonts w:ascii="Times New Roman" w:eastAsia="Times New Roman" w:hAnsi="Times New Roman" w:cs="Times New Roman"/>
          <w:i/>
          <w:sz w:val="24"/>
          <w:szCs w:val="24"/>
          <w:vertAlign w:val="superscript"/>
        </w:rPr>
        <w:footnoteReference w:id="3"/>
      </w:r>
    </w:p>
    <w:p w14:paraId="51CE305B" w14:textId="77777777" w:rsidR="00EF4E75" w:rsidRDefault="00EF4E75">
      <w:pPr>
        <w:rPr>
          <w:rFonts w:ascii="Times New Roman" w:eastAsia="Times New Roman" w:hAnsi="Times New Roman" w:cs="Times New Roman"/>
          <w:sz w:val="24"/>
          <w:szCs w:val="24"/>
        </w:rPr>
      </w:pPr>
    </w:p>
    <w:tbl>
      <w:tblPr>
        <w:tblStyle w:val="a"/>
        <w:tblW w:w="13007"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1346"/>
        <w:gridCol w:w="1445"/>
        <w:gridCol w:w="1457"/>
        <w:gridCol w:w="1559"/>
        <w:gridCol w:w="1418"/>
        <w:gridCol w:w="1275"/>
        <w:gridCol w:w="1134"/>
        <w:gridCol w:w="1433"/>
        <w:gridCol w:w="1940"/>
      </w:tblGrid>
      <w:tr w:rsidR="00EF4E75" w14:paraId="4D3DA3A3" w14:textId="77777777">
        <w:trPr>
          <w:trHeight w:val="268"/>
        </w:trPr>
        <w:tc>
          <w:tcPr>
            <w:tcW w:w="1346" w:type="dxa"/>
            <w:tcBorders>
              <w:top w:val="single" w:sz="4" w:space="0" w:color="000000"/>
              <w:left w:val="single" w:sz="4" w:space="0" w:color="FFFFFF"/>
              <w:bottom w:val="single" w:sz="4" w:space="0" w:color="000000"/>
              <w:right w:val="single" w:sz="4" w:space="0" w:color="FFFFFF"/>
            </w:tcBorders>
            <w:tcMar>
              <w:top w:w="100" w:type="dxa"/>
              <w:left w:w="100" w:type="dxa"/>
              <w:bottom w:w="100" w:type="dxa"/>
              <w:right w:w="100" w:type="dxa"/>
            </w:tcMar>
            <w:vAlign w:val="center"/>
          </w:tcPr>
          <w:p w14:paraId="6E22003A" w14:textId="77777777" w:rsidR="00EF4E75"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Empresa</w:t>
            </w:r>
          </w:p>
        </w:tc>
        <w:tc>
          <w:tcPr>
            <w:tcW w:w="1445" w:type="dxa"/>
            <w:tcBorders>
              <w:top w:val="single" w:sz="4" w:space="0" w:color="000000"/>
              <w:left w:val="single" w:sz="4" w:space="0" w:color="FFFFFF"/>
              <w:bottom w:val="single" w:sz="4" w:space="0" w:color="000000"/>
              <w:right w:val="single" w:sz="4" w:space="0" w:color="FFFFFF"/>
            </w:tcBorders>
            <w:tcMar>
              <w:top w:w="100" w:type="dxa"/>
              <w:left w:w="100" w:type="dxa"/>
              <w:bottom w:w="100" w:type="dxa"/>
              <w:right w:w="100" w:type="dxa"/>
            </w:tcMar>
            <w:vAlign w:val="center"/>
          </w:tcPr>
          <w:p w14:paraId="296FA3DD" w14:textId="77777777" w:rsidR="00EF4E75"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Reclutamiento</w:t>
            </w:r>
          </w:p>
        </w:tc>
        <w:tc>
          <w:tcPr>
            <w:tcW w:w="1457" w:type="dxa"/>
            <w:tcBorders>
              <w:top w:val="single" w:sz="4" w:space="0" w:color="000000"/>
              <w:left w:val="single" w:sz="4" w:space="0" w:color="FFFFFF"/>
              <w:bottom w:val="single" w:sz="4" w:space="0" w:color="000000"/>
              <w:right w:val="single" w:sz="4" w:space="0" w:color="FFFFFF"/>
            </w:tcBorders>
            <w:tcMar>
              <w:top w:w="100" w:type="dxa"/>
              <w:left w:w="100" w:type="dxa"/>
              <w:bottom w:w="100" w:type="dxa"/>
              <w:right w:w="100" w:type="dxa"/>
            </w:tcMar>
            <w:vAlign w:val="center"/>
          </w:tcPr>
          <w:p w14:paraId="3AEE1340" w14:textId="77777777" w:rsidR="00EF4E75"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Remuneración</w:t>
            </w:r>
          </w:p>
        </w:tc>
        <w:tc>
          <w:tcPr>
            <w:tcW w:w="1559" w:type="dxa"/>
            <w:tcBorders>
              <w:top w:val="single" w:sz="4" w:space="0" w:color="000000"/>
              <w:left w:val="single" w:sz="4" w:space="0" w:color="FFFFFF"/>
              <w:bottom w:val="single" w:sz="4" w:space="0" w:color="000000"/>
              <w:right w:val="single" w:sz="4" w:space="0" w:color="FFFFFF"/>
            </w:tcBorders>
            <w:tcMar>
              <w:top w:w="100" w:type="dxa"/>
              <w:left w:w="100" w:type="dxa"/>
              <w:bottom w:w="100" w:type="dxa"/>
              <w:right w:w="100" w:type="dxa"/>
            </w:tcMar>
            <w:vAlign w:val="center"/>
          </w:tcPr>
          <w:p w14:paraId="5A656068" w14:textId="77777777" w:rsidR="00EF4E75"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Desarrollo profesional</w:t>
            </w:r>
          </w:p>
        </w:tc>
        <w:tc>
          <w:tcPr>
            <w:tcW w:w="1418" w:type="dxa"/>
            <w:tcBorders>
              <w:top w:val="single" w:sz="4" w:space="0" w:color="000000"/>
              <w:left w:val="single" w:sz="4" w:space="0" w:color="FFFFFF"/>
              <w:bottom w:val="single" w:sz="4" w:space="0" w:color="000000"/>
              <w:right w:val="single" w:sz="4" w:space="0" w:color="FFFFFF"/>
            </w:tcBorders>
            <w:tcMar>
              <w:top w:w="100" w:type="dxa"/>
              <w:left w:w="100" w:type="dxa"/>
              <w:bottom w:w="100" w:type="dxa"/>
              <w:right w:w="100" w:type="dxa"/>
            </w:tcMar>
            <w:vAlign w:val="center"/>
          </w:tcPr>
          <w:p w14:paraId="7E304DAB" w14:textId="77777777" w:rsidR="00EF4E75"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Capacitación en género</w:t>
            </w:r>
          </w:p>
        </w:tc>
        <w:tc>
          <w:tcPr>
            <w:tcW w:w="1275" w:type="dxa"/>
            <w:tcBorders>
              <w:top w:val="single" w:sz="4" w:space="0" w:color="000000"/>
              <w:left w:val="single" w:sz="4" w:space="0" w:color="FFFFFF"/>
              <w:bottom w:val="single" w:sz="4" w:space="0" w:color="000000"/>
              <w:right w:val="single" w:sz="4" w:space="0" w:color="FFFFFF"/>
            </w:tcBorders>
            <w:tcMar>
              <w:top w:w="100" w:type="dxa"/>
              <w:left w:w="100" w:type="dxa"/>
              <w:bottom w:w="100" w:type="dxa"/>
              <w:right w:w="100" w:type="dxa"/>
            </w:tcMar>
            <w:vAlign w:val="center"/>
          </w:tcPr>
          <w:p w14:paraId="1E209BCC" w14:textId="77777777" w:rsidR="00EF4E75"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Conciliación vida laboral y personal</w:t>
            </w:r>
          </w:p>
        </w:tc>
        <w:tc>
          <w:tcPr>
            <w:tcW w:w="1134" w:type="dxa"/>
            <w:tcBorders>
              <w:top w:val="single" w:sz="4" w:space="0" w:color="000000"/>
              <w:left w:val="single" w:sz="4" w:space="0" w:color="FFFFFF"/>
              <w:bottom w:val="single" w:sz="4" w:space="0" w:color="000000"/>
              <w:right w:val="single" w:sz="4" w:space="0" w:color="FFFFFF"/>
            </w:tcBorders>
            <w:tcMar>
              <w:top w:w="100" w:type="dxa"/>
              <w:left w:w="100" w:type="dxa"/>
              <w:bottom w:w="100" w:type="dxa"/>
              <w:right w:w="100" w:type="dxa"/>
            </w:tcMar>
            <w:vAlign w:val="center"/>
          </w:tcPr>
          <w:p w14:paraId="6405B28E" w14:textId="77777777" w:rsidR="00EF4E75"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Ambiente de trabajo</w:t>
            </w:r>
          </w:p>
        </w:tc>
        <w:tc>
          <w:tcPr>
            <w:tcW w:w="1433" w:type="dxa"/>
            <w:tcBorders>
              <w:top w:val="single" w:sz="4" w:space="0" w:color="000000"/>
              <w:left w:val="single" w:sz="4" w:space="0" w:color="FFFFFF"/>
              <w:bottom w:val="single" w:sz="4" w:space="0" w:color="000000"/>
              <w:right w:val="single" w:sz="4" w:space="0" w:color="FFFFFF"/>
            </w:tcBorders>
            <w:tcMar>
              <w:top w:w="100" w:type="dxa"/>
              <w:left w:w="100" w:type="dxa"/>
              <w:bottom w:w="100" w:type="dxa"/>
              <w:right w:w="100" w:type="dxa"/>
            </w:tcMar>
            <w:vAlign w:val="center"/>
          </w:tcPr>
          <w:p w14:paraId="499FDC6F" w14:textId="77777777" w:rsidR="00EF4E75"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Acoso laboral y sexual</w:t>
            </w:r>
          </w:p>
        </w:tc>
        <w:tc>
          <w:tcPr>
            <w:tcW w:w="1940" w:type="dxa"/>
            <w:tcBorders>
              <w:top w:val="single" w:sz="4" w:space="0" w:color="000000"/>
              <w:left w:val="single" w:sz="4" w:space="0" w:color="FFFFFF"/>
              <w:bottom w:val="single" w:sz="4" w:space="0" w:color="000000"/>
              <w:right w:val="single" w:sz="4" w:space="0" w:color="FFFFFF"/>
            </w:tcBorders>
            <w:tcMar>
              <w:top w:w="100" w:type="dxa"/>
              <w:left w:w="100" w:type="dxa"/>
              <w:bottom w:w="100" w:type="dxa"/>
              <w:right w:w="100" w:type="dxa"/>
            </w:tcMar>
            <w:vAlign w:val="center"/>
          </w:tcPr>
          <w:p w14:paraId="14D868EA" w14:textId="77777777" w:rsidR="00EF4E75" w:rsidRDefault="00000000">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Comunicación no sexista</w:t>
            </w:r>
          </w:p>
        </w:tc>
      </w:tr>
      <w:tr w:rsidR="00EF4E75" w14:paraId="5C6EACFF" w14:textId="77777777">
        <w:trPr>
          <w:trHeight w:val="2182"/>
        </w:trPr>
        <w:tc>
          <w:tcPr>
            <w:tcW w:w="1346" w:type="dxa"/>
            <w:tcBorders>
              <w:top w:val="single" w:sz="4" w:space="0" w:color="000000"/>
              <w:left w:val="nil"/>
              <w:bottom w:val="single" w:sz="4" w:space="0" w:color="000000"/>
              <w:right w:val="nil"/>
            </w:tcBorders>
            <w:tcMar>
              <w:top w:w="100" w:type="dxa"/>
              <w:left w:w="100" w:type="dxa"/>
              <w:bottom w:w="100" w:type="dxa"/>
              <w:right w:w="100" w:type="dxa"/>
            </w:tcMar>
            <w:vAlign w:val="center"/>
          </w:tcPr>
          <w:p w14:paraId="50BB7AC2" w14:textId="77777777" w:rsidR="00EF4E75" w:rsidRDefault="00000000">
            <w:pPr>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Colombina S.A.</w:t>
            </w:r>
          </w:p>
        </w:tc>
        <w:tc>
          <w:tcPr>
            <w:tcW w:w="1445" w:type="dxa"/>
            <w:tcBorders>
              <w:top w:val="single" w:sz="4" w:space="0" w:color="000000"/>
              <w:left w:val="nil"/>
              <w:bottom w:val="single" w:sz="4" w:space="0" w:color="000000"/>
              <w:right w:val="nil"/>
            </w:tcBorders>
            <w:tcMar>
              <w:top w:w="100" w:type="dxa"/>
              <w:left w:w="100" w:type="dxa"/>
              <w:bottom w:w="100" w:type="dxa"/>
              <w:right w:w="100" w:type="dxa"/>
            </w:tcMar>
            <w:vAlign w:val="center"/>
          </w:tcPr>
          <w:p w14:paraId="43613673" w14:textId="77777777" w:rsidR="00EF4E7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Procesos incluyentes para todos los perfiles técnicos, profesionales y especializados. </w:t>
            </w:r>
          </w:p>
        </w:tc>
        <w:tc>
          <w:tcPr>
            <w:tcW w:w="1457" w:type="dxa"/>
            <w:tcBorders>
              <w:top w:val="single" w:sz="4" w:space="0" w:color="000000"/>
              <w:left w:val="nil"/>
              <w:bottom w:val="single" w:sz="4" w:space="0" w:color="000000"/>
              <w:right w:val="nil"/>
            </w:tcBorders>
            <w:tcMar>
              <w:top w:w="100" w:type="dxa"/>
              <w:left w:w="100" w:type="dxa"/>
              <w:bottom w:w="100" w:type="dxa"/>
              <w:right w:w="100" w:type="dxa"/>
            </w:tcMar>
            <w:vAlign w:val="center"/>
          </w:tcPr>
          <w:p w14:paraId="0372A8AE" w14:textId="77777777" w:rsidR="00EF4E7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Modelo de equidad salarial (Convenio 100 OIT)</w:t>
            </w:r>
          </w:p>
        </w:tc>
        <w:tc>
          <w:tcPr>
            <w:tcW w:w="1559" w:type="dxa"/>
            <w:tcBorders>
              <w:top w:val="single" w:sz="4" w:space="0" w:color="000000"/>
              <w:left w:val="nil"/>
              <w:bottom w:val="single" w:sz="4" w:space="0" w:color="000000"/>
              <w:right w:val="nil"/>
            </w:tcBorders>
            <w:tcMar>
              <w:top w:w="100" w:type="dxa"/>
              <w:left w:w="100" w:type="dxa"/>
              <w:bottom w:w="100" w:type="dxa"/>
              <w:right w:w="100" w:type="dxa"/>
            </w:tcMar>
            <w:vAlign w:val="center"/>
          </w:tcPr>
          <w:p w14:paraId="60BDD8F3" w14:textId="77777777" w:rsidR="00EF4E7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Herramientas innovadoras de gestión del talento humano enfocadas a las necesidades de la mujer en los entornos laborales.</w:t>
            </w:r>
          </w:p>
        </w:tc>
        <w:tc>
          <w:tcPr>
            <w:tcW w:w="1418" w:type="dxa"/>
            <w:tcBorders>
              <w:top w:val="single" w:sz="4" w:space="0" w:color="000000"/>
              <w:left w:val="nil"/>
              <w:bottom w:val="single" w:sz="4" w:space="0" w:color="000000"/>
              <w:right w:val="nil"/>
            </w:tcBorders>
            <w:tcMar>
              <w:top w:w="100" w:type="dxa"/>
              <w:left w:w="100" w:type="dxa"/>
              <w:bottom w:w="100" w:type="dxa"/>
              <w:right w:w="100" w:type="dxa"/>
            </w:tcMar>
            <w:vAlign w:val="center"/>
          </w:tcPr>
          <w:p w14:paraId="6E38D5E4" w14:textId="77777777" w:rsidR="00EF4E7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Programa interno de formación en equidad, diversidad e inclusión</w:t>
            </w:r>
          </w:p>
        </w:tc>
        <w:tc>
          <w:tcPr>
            <w:tcW w:w="1275" w:type="dxa"/>
            <w:tcBorders>
              <w:top w:val="single" w:sz="4" w:space="0" w:color="000000"/>
              <w:left w:val="nil"/>
              <w:bottom w:val="single" w:sz="4" w:space="0" w:color="000000"/>
              <w:right w:val="nil"/>
            </w:tcBorders>
            <w:tcMar>
              <w:top w:w="100" w:type="dxa"/>
              <w:left w:w="100" w:type="dxa"/>
              <w:bottom w:w="100" w:type="dxa"/>
              <w:right w:w="100" w:type="dxa"/>
            </w:tcMar>
            <w:vAlign w:val="center"/>
          </w:tcPr>
          <w:p w14:paraId="15727016" w14:textId="77777777" w:rsidR="00EF4E7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Programas de bienestar para balance vida-trabajo</w:t>
            </w:r>
          </w:p>
        </w:tc>
        <w:tc>
          <w:tcPr>
            <w:tcW w:w="1134" w:type="dxa"/>
            <w:tcBorders>
              <w:top w:val="single" w:sz="4" w:space="0" w:color="000000"/>
              <w:left w:val="nil"/>
              <w:bottom w:val="single" w:sz="4" w:space="0" w:color="000000"/>
              <w:right w:val="nil"/>
            </w:tcBorders>
            <w:tcMar>
              <w:top w:w="100" w:type="dxa"/>
              <w:left w:w="100" w:type="dxa"/>
              <w:bottom w:w="100" w:type="dxa"/>
              <w:right w:w="100" w:type="dxa"/>
            </w:tcMar>
            <w:vAlign w:val="center"/>
          </w:tcPr>
          <w:p w14:paraId="6242B0F7" w14:textId="77777777" w:rsidR="00EF4E7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Cultura organizacional respetuosa e inclusiva</w:t>
            </w:r>
          </w:p>
        </w:tc>
        <w:tc>
          <w:tcPr>
            <w:tcW w:w="1433" w:type="dxa"/>
            <w:tcBorders>
              <w:top w:val="single" w:sz="4" w:space="0" w:color="000000"/>
              <w:left w:val="nil"/>
              <w:bottom w:val="single" w:sz="4" w:space="0" w:color="000000"/>
              <w:right w:val="nil"/>
            </w:tcBorders>
            <w:tcMar>
              <w:top w:w="100" w:type="dxa"/>
              <w:left w:w="100" w:type="dxa"/>
              <w:bottom w:w="100" w:type="dxa"/>
              <w:right w:w="100" w:type="dxa"/>
            </w:tcMar>
            <w:vAlign w:val="center"/>
          </w:tcPr>
          <w:p w14:paraId="338BDDAE" w14:textId="77777777" w:rsidR="00EF4E7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Gestión interna con enfoque preventivo</w:t>
            </w:r>
          </w:p>
        </w:tc>
        <w:tc>
          <w:tcPr>
            <w:tcW w:w="1940" w:type="dxa"/>
            <w:tcBorders>
              <w:top w:val="single" w:sz="4" w:space="0" w:color="000000"/>
              <w:left w:val="nil"/>
              <w:bottom w:val="single" w:sz="4" w:space="0" w:color="000000"/>
              <w:right w:val="nil"/>
            </w:tcBorders>
            <w:tcMar>
              <w:top w:w="100" w:type="dxa"/>
              <w:left w:w="100" w:type="dxa"/>
              <w:bottom w:w="100" w:type="dxa"/>
              <w:right w:w="100" w:type="dxa"/>
            </w:tcMar>
            <w:vAlign w:val="center"/>
          </w:tcPr>
          <w:p w14:paraId="17C42FE9" w14:textId="77777777" w:rsidR="00EF4E7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Transversal en la cultura y grupos de interés</w:t>
            </w:r>
          </w:p>
        </w:tc>
      </w:tr>
      <w:tr w:rsidR="00EF4E75" w14:paraId="46289E5C" w14:textId="77777777">
        <w:trPr>
          <w:trHeight w:val="408"/>
        </w:trPr>
        <w:tc>
          <w:tcPr>
            <w:tcW w:w="1346" w:type="dxa"/>
            <w:tcBorders>
              <w:top w:val="single" w:sz="4" w:space="0" w:color="000000"/>
              <w:left w:val="nil"/>
              <w:bottom w:val="single" w:sz="4" w:space="0" w:color="000000"/>
              <w:right w:val="nil"/>
            </w:tcBorders>
            <w:tcMar>
              <w:top w:w="100" w:type="dxa"/>
              <w:left w:w="100" w:type="dxa"/>
              <w:bottom w:w="100" w:type="dxa"/>
              <w:right w:w="100" w:type="dxa"/>
            </w:tcMar>
            <w:vAlign w:val="center"/>
          </w:tcPr>
          <w:p w14:paraId="1CEFAB0D" w14:textId="77777777" w:rsidR="00EF4E75" w:rsidRDefault="00000000">
            <w:pPr>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Sanofi Pasteur</w:t>
            </w:r>
          </w:p>
        </w:tc>
        <w:tc>
          <w:tcPr>
            <w:tcW w:w="1445" w:type="dxa"/>
            <w:tcBorders>
              <w:top w:val="single" w:sz="4" w:space="0" w:color="000000"/>
              <w:left w:val="nil"/>
              <w:bottom w:val="single" w:sz="4" w:space="0" w:color="000000"/>
              <w:right w:val="nil"/>
            </w:tcBorders>
            <w:tcMar>
              <w:top w:w="100" w:type="dxa"/>
              <w:left w:w="100" w:type="dxa"/>
              <w:bottom w:w="100" w:type="dxa"/>
              <w:right w:w="100" w:type="dxa"/>
            </w:tcMar>
            <w:vAlign w:val="center"/>
          </w:tcPr>
          <w:p w14:paraId="3181C13A" w14:textId="77777777" w:rsidR="00EF4E7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Compromiso con el equilibrio de género en liderazgo, sobre todo en cargos de decisiones administrativas</w:t>
            </w:r>
            <w:r>
              <w:rPr>
                <w:rFonts w:ascii="Times New Roman" w:eastAsia="Times New Roman" w:hAnsi="Times New Roman" w:cs="Times New Roman"/>
                <w:sz w:val="20"/>
                <w:szCs w:val="20"/>
              </w:rPr>
              <w:lastRenderedPageBreak/>
              <w:t xml:space="preserve">, gerenciales o financieras. </w:t>
            </w:r>
          </w:p>
        </w:tc>
        <w:tc>
          <w:tcPr>
            <w:tcW w:w="1457" w:type="dxa"/>
            <w:tcBorders>
              <w:top w:val="single" w:sz="4" w:space="0" w:color="000000"/>
              <w:left w:val="nil"/>
              <w:bottom w:val="single" w:sz="4" w:space="0" w:color="000000"/>
              <w:right w:val="nil"/>
            </w:tcBorders>
            <w:tcMar>
              <w:top w:w="100" w:type="dxa"/>
              <w:left w:w="100" w:type="dxa"/>
              <w:bottom w:w="100" w:type="dxa"/>
              <w:right w:w="100" w:type="dxa"/>
            </w:tcMar>
            <w:vAlign w:val="center"/>
          </w:tcPr>
          <w:p w14:paraId="59DEAE0D" w14:textId="77777777" w:rsidR="00EF4E7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 xml:space="preserve">La empresa no especifica una política sobre este apartado en específico. </w:t>
            </w:r>
          </w:p>
        </w:tc>
        <w:tc>
          <w:tcPr>
            <w:tcW w:w="1559" w:type="dxa"/>
            <w:tcBorders>
              <w:top w:val="single" w:sz="4" w:space="0" w:color="000000"/>
              <w:left w:val="nil"/>
              <w:bottom w:val="single" w:sz="4" w:space="0" w:color="000000"/>
              <w:right w:val="nil"/>
            </w:tcBorders>
            <w:tcMar>
              <w:top w:w="100" w:type="dxa"/>
              <w:left w:w="100" w:type="dxa"/>
              <w:bottom w:w="100" w:type="dxa"/>
              <w:right w:w="100" w:type="dxa"/>
            </w:tcMar>
            <w:vAlign w:val="center"/>
          </w:tcPr>
          <w:p w14:paraId="4EC81CB6" w14:textId="77777777" w:rsidR="00EF4E7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44% de mujeres en liderazgo; meta 50/50</w:t>
            </w:r>
          </w:p>
        </w:tc>
        <w:tc>
          <w:tcPr>
            <w:tcW w:w="1418" w:type="dxa"/>
            <w:tcBorders>
              <w:top w:val="single" w:sz="4" w:space="0" w:color="000000"/>
              <w:left w:val="nil"/>
              <w:bottom w:val="single" w:sz="4" w:space="0" w:color="000000"/>
              <w:right w:val="nil"/>
            </w:tcBorders>
            <w:tcMar>
              <w:top w:w="100" w:type="dxa"/>
              <w:left w:w="100" w:type="dxa"/>
              <w:bottom w:w="100" w:type="dxa"/>
              <w:right w:w="100" w:type="dxa"/>
            </w:tcMar>
            <w:vAlign w:val="center"/>
          </w:tcPr>
          <w:p w14:paraId="6E0252D9" w14:textId="77777777" w:rsidR="00EF4E7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Programas de desarrollo de liderazgo para mujeres</w:t>
            </w:r>
          </w:p>
        </w:tc>
        <w:tc>
          <w:tcPr>
            <w:tcW w:w="1275" w:type="dxa"/>
            <w:tcBorders>
              <w:top w:val="single" w:sz="4" w:space="0" w:color="000000"/>
              <w:left w:val="nil"/>
              <w:bottom w:val="single" w:sz="4" w:space="0" w:color="000000"/>
              <w:right w:val="nil"/>
            </w:tcBorders>
            <w:tcMar>
              <w:top w:w="100" w:type="dxa"/>
              <w:left w:w="100" w:type="dxa"/>
              <w:bottom w:w="100" w:type="dxa"/>
              <w:right w:w="100" w:type="dxa"/>
            </w:tcMar>
            <w:vAlign w:val="center"/>
          </w:tcPr>
          <w:p w14:paraId="6A313BC7" w14:textId="77777777" w:rsidR="00EF4E7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Promoción del equilibrio de género en roles y tiempos</w:t>
            </w:r>
          </w:p>
        </w:tc>
        <w:tc>
          <w:tcPr>
            <w:tcW w:w="1134" w:type="dxa"/>
            <w:tcBorders>
              <w:top w:val="single" w:sz="4" w:space="0" w:color="000000"/>
              <w:left w:val="nil"/>
              <w:bottom w:val="single" w:sz="4" w:space="0" w:color="000000"/>
              <w:right w:val="nil"/>
            </w:tcBorders>
            <w:tcMar>
              <w:top w:w="100" w:type="dxa"/>
              <w:left w:w="100" w:type="dxa"/>
              <w:bottom w:w="100" w:type="dxa"/>
              <w:right w:w="100" w:type="dxa"/>
            </w:tcMar>
            <w:vAlign w:val="center"/>
          </w:tcPr>
          <w:p w14:paraId="7DCF1F53" w14:textId="77777777" w:rsidR="00EF4E7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Sensibilización constante en temas de género</w:t>
            </w:r>
          </w:p>
        </w:tc>
        <w:tc>
          <w:tcPr>
            <w:tcW w:w="1433" w:type="dxa"/>
            <w:tcBorders>
              <w:top w:val="single" w:sz="4" w:space="0" w:color="000000"/>
              <w:left w:val="nil"/>
              <w:bottom w:val="single" w:sz="4" w:space="0" w:color="000000"/>
              <w:right w:val="nil"/>
            </w:tcBorders>
            <w:tcMar>
              <w:top w:w="100" w:type="dxa"/>
              <w:left w:w="100" w:type="dxa"/>
              <w:bottom w:w="100" w:type="dxa"/>
              <w:right w:w="100" w:type="dxa"/>
            </w:tcMar>
            <w:vAlign w:val="center"/>
          </w:tcPr>
          <w:p w14:paraId="0DF1B1C9" w14:textId="77777777" w:rsidR="00EF4E7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No especifican aportes puntuales a este ítem. </w:t>
            </w:r>
          </w:p>
        </w:tc>
        <w:tc>
          <w:tcPr>
            <w:tcW w:w="1940" w:type="dxa"/>
            <w:tcBorders>
              <w:top w:val="single" w:sz="4" w:space="0" w:color="000000"/>
              <w:left w:val="nil"/>
              <w:bottom w:val="single" w:sz="4" w:space="0" w:color="000000"/>
              <w:right w:val="nil"/>
            </w:tcBorders>
            <w:tcMar>
              <w:top w:w="100" w:type="dxa"/>
              <w:left w:w="100" w:type="dxa"/>
              <w:bottom w:w="100" w:type="dxa"/>
              <w:right w:w="100" w:type="dxa"/>
            </w:tcMar>
            <w:vAlign w:val="center"/>
          </w:tcPr>
          <w:p w14:paraId="0C3E1E9A" w14:textId="77777777" w:rsidR="00EF4E7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Campañas internas sobre equidad</w:t>
            </w:r>
          </w:p>
        </w:tc>
      </w:tr>
      <w:tr w:rsidR="00EF4E75" w14:paraId="24BF0DE7" w14:textId="77777777">
        <w:trPr>
          <w:trHeight w:val="1835"/>
        </w:trPr>
        <w:tc>
          <w:tcPr>
            <w:tcW w:w="1346" w:type="dxa"/>
            <w:tcBorders>
              <w:top w:val="single" w:sz="4" w:space="0" w:color="000000"/>
              <w:left w:val="nil"/>
              <w:bottom w:val="single" w:sz="4" w:space="0" w:color="000000"/>
              <w:right w:val="nil"/>
            </w:tcBorders>
            <w:tcMar>
              <w:top w:w="100" w:type="dxa"/>
              <w:left w:w="100" w:type="dxa"/>
              <w:bottom w:w="100" w:type="dxa"/>
              <w:right w:w="100" w:type="dxa"/>
            </w:tcMar>
            <w:vAlign w:val="center"/>
          </w:tcPr>
          <w:p w14:paraId="1F5013E7" w14:textId="77777777" w:rsidR="00EF4E75" w:rsidRDefault="00000000">
            <w:pPr>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Servicios Nutresa (</w:t>
            </w:r>
            <w:proofErr w:type="spellStart"/>
            <w:r>
              <w:rPr>
                <w:rFonts w:ascii="Times New Roman" w:eastAsia="Times New Roman" w:hAnsi="Times New Roman" w:cs="Times New Roman"/>
                <w:b/>
                <w:sz w:val="20"/>
                <w:szCs w:val="20"/>
              </w:rPr>
              <w:t>Novaventa</w:t>
            </w:r>
            <w:proofErr w:type="spellEnd"/>
            <w:r>
              <w:rPr>
                <w:rFonts w:ascii="Times New Roman" w:eastAsia="Times New Roman" w:hAnsi="Times New Roman" w:cs="Times New Roman"/>
                <w:b/>
                <w:sz w:val="20"/>
                <w:szCs w:val="20"/>
              </w:rPr>
              <w:t>)</w:t>
            </w:r>
          </w:p>
        </w:tc>
        <w:tc>
          <w:tcPr>
            <w:tcW w:w="1445" w:type="dxa"/>
            <w:tcBorders>
              <w:top w:val="single" w:sz="4" w:space="0" w:color="000000"/>
              <w:left w:val="nil"/>
              <w:bottom w:val="single" w:sz="4" w:space="0" w:color="000000"/>
              <w:right w:val="nil"/>
            </w:tcBorders>
            <w:tcMar>
              <w:top w:w="100" w:type="dxa"/>
              <w:left w:w="100" w:type="dxa"/>
              <w:bottom w:w="100" w:type="dxa"/>
              <w:right w:w="100" w:type="dxa"/>
            </w:tcMar>
            <w:vAlign w:val="center"/>
          </w:tcPr>
          <w:p w14:paraId="5E184EA5" w14:textId="77777777" w:rsidR="00EF4E7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Inclusión de mujeres de la cadena de valor</w:t>
            </w:r>
          </w:p>
        </w:tc>
        <w:tc>
          <w:tcPr>
            <w:tcW w:w="1457" w:type="dxa"/>
            <w:tcBorders>
              <w:top w:val="single" w:sz="4" w:space="0" w:color="000000"/>
              <w:left w:val="nil"/>
              <w:bottom w:val="single" w:sz="4" w:space="0" w:color="000000"/>
              <w:right w:val="nil"/>
            </w:tcBorders>
            <w:tcMar>
              <w:top w:w="100" w:type="dxa"/>
              <w:left w:w="100" w:type="dxa"/>
              <w:bottom w:w="100" w:type="dxa"/>
              <w:right w:w="100" w:type="dxa"/>
            </w:tcMar>
            <w:vAlign w:val="center"/>
          </w:tcPr>
          <w:p w14:paraId="658E05F4" w14:textId="77777777" w:rsidR="00EF4E7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Creación de incentivos económicos según cumplimiento de metas de equipo o liderazgo.</w:t>
            </w:r>
          </w:p>
        </w:tc>
        <w:tc>
          <w:tcPr>
            <w:tcW w:w="1559" w:type="dxa"/>
            <w:tcBorders>
              <w:top w:val="single" w:sz="4" w:space="0" w:color="000000"/>
              <w:left w:val="nil"/>
              <w:bottom w:val="single" w:sz="4" w:space="0" w:color="000000"/>
              <w:right w:val="nil"/>
            </w:tcBorders>
            <w:tcMar>
              <w:top w:w="100" w:type="dxa"/>
              <w:left w:w="100" w:type="dxa"/>
              <w:bottom w:w="100" w:type="dxa"/>
              <w:right w:w="100" w:type="dxa"/>
            </w:tcMar>
            <w:vAlign w:val="center"/>
          </w:tcPr>
          <w:p w14:paraId="14873EB4" w14:textId="77777777" w:rsidR="00EF4E7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Empoderamiento económico para mujeres emprendedoras</w:t>
            </w:r>
          </w:p>
        </w:tc>
        <w:tc>
          <w:tcPr>
            <w:tcW w:w="1418" w:type="dxa"/>
            <w:tcBorders>
              <w:top w:val="single" w:sz="4" w:space="0" w:color="000000"/>
              <w:left w:val="nil"/>
              <w:bottom w:val="single" w:sz="4" w:space="0" w:color="000000"/>
              <w:right w:val="nil"/>
            </w:tcBorders>
            <w:tcMar>
              <w:top w:w="100" w:type="dxa"/>
              <w:left w:w="100" w:type="dxa"/>
              <w:bottom w:w="100" w:type="dxa"/>
              <w:right w:w="100" w:type="dxa"/>
            </w:tcMar>
            <w:vAlign w:val="center"/>
          </w:tcPr>
          <w:p w14:paraId="237D49CC" w14:textId="77777777" w:rsidR="00EF4E7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Talleres en liderazgo, finanzas, género y empoderamiento</w:t>
            </w:r>
          </w:p>
        </w:tc>
        <w:tc>
          <w:tcPr>
            <w:tcW w:w="1275" w:type="dxa"/>
            <w:tcBorders>
              <w:top w:val="single" w:sz="4" w:space="0" w:color="000000"/>
              <w:left w:val="nil"/>
              <w:bottom w:val="single" w:sz="4" w:space="0" w:color="000000"/>
              <w:right w:val="nil"/>
            </w:tcBorders>
            <w:tcMar>
              <w:top w:w="100" w:type="dxa"/>
              <w:left w:w="100" w:type="dxa"/>
              <w:bottom w:w="100" w:type="dxa"/>
              <w:right w:w="100" w:type="dxa"/>
            </w:tcMar>
            <w:vAlign w:val="center"/>
          </w:tcPr>
          <w:p w14:paraId="1884D8C0" w14:textId="77777777" w:rsidR="00EF4E7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Enfoque integral en balance de roles familiares y económicos</w:t>
            </w:r>
          </w:p>
        </w:tc>
        <w:tc>
          <w:tcPr>
            <w:tcW w:w="1134" w:type="dxa"/>
            <w:tcBorders>
              <w:top w:val="single" w:sz="4" w:space="0" w:color="000000"/>
              <w:left w:val="nil"/>
              <w:bottom w:val="single" w:sz="4" w:space="0" w:color="000000"/>
              <w:right w:val="nil"/>
            </w:tcBorders>
            <w:tcMar>
              <w:top w:w="100" w:type="dxa"/>
              <w:left w:w="100" w:type="dxa"/>
              <w:bottom w:w="100" w:type="dxa"/>
              <w:right w:w="100" w:type="dxa"/>
            </w:tcMar>
            <w:vAlign w:val="center"/>
          </w:tcPr>
          <w:p w14:paraId="3B7BF5B9" w14:textId="77777777" w:rsidR="00EF4E7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Enfoque en diversidad e inclusión</w:t>
            </w:r>
          </w:p>
        </w:tc>
        <w:tc>
          <w:tcPr>
            <w:tcW w:w="1433" w:type="dxa"/>
            <w:tcBorders>
              <w:top w:val="single" w:sz="4" w:space="0" w:color="000000"/>
              <w:left w:val="nil"/>
              <w:bottom w:val="single" w:sz="4" w:space="0" w:color="000000"/>
              <w:right w:val="nil"/>
            </w:tcBorders>
            <w:tcMar>
              <w:top w:w="100" w:type="dxa"/>
              <w:left w:w="100" w:type="dxa"/>
              <w:bottom w:w="100" w:type="dxa"/>
              <w:right w:w="100" w:type="dxa"/>
            </w:tcMar>
            <w:vAlign w:val="center"/>
          </w:tcPr>
          <w:p w14:paraId="1D8E87FC" w14:textId="77777777" w:rsidR="00EF4E7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Enfoque formativo y preventivo</w:t>
            </w:r>
          </w:p>
        </w:tc>
        <w:tc>
          <w:tcPr>
            <w:tcW w:w="1940" w:type="dxa"/>
            <w:tcBorders>
              <w:top w:val="single" w:sz="4" w:space="0" w:color="000000"/>
              <w:left w:val="nil"/>
              <w:bottom w:val="single" w:sz="4" w:space="0" w:color="000000"/>
              <w:right w:val="nil"/>
            </w:tcBorders>
            <w:tcMar>
              <w:top w:w="100" w:type="dxa"/>
              <w:left w:w="100" w:type="dxa"/>
              <w:bottom w:w="100" w:type="dxa"/>
              <w:right w:w="100" w:type="dxa"/>
            </w:tcMar>
            <w:vAlign w:val="center"/>
          </w:tcPr>
          <w:p w14:paraId="000396DB" w14:textId="77777777" w:rsidR="00EF4E7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Presente en enfoque educativo</w:t>
            </w:r>
          </w:p>
        </w:tc>
      </w:tr>
      <w:tr w:rsidR="00EF4E75" w14:paraId="0D9754F9" w14:textId="77777777">
        <w:trPr>
          <w:trHeight w:val="1118"/>
        </w:trPr>
        <w:tc>
          <w:tcPr>
            <w:tcW w:w="1346" w:type="dxa"/>
            <w:tcBorders>
              <w:top w:val="single" w:sz="4" w:space="0" w:color="000000"/>
              <w:left w:val="nil"/>
              <w:bottom w:val="single" w:sz="4" w:space="0" w:color="000000"/>
              <w:right w:val="nil"/>
            </w:tcBorders>
            <w:tcMar>
              <w:top w:w="100" w:type="dxa"/>
              <w:left w:w="100" w:type="dxa"/>
              <w:bottom w:w="100" w:type="dxa"/>
              <w:right w:w="100" w:type="dxa"/>
            </w:tcMar>
            <w:vAlign w:val="center"/>
          </w:tcPr>
          <w:p w14:paraId="50850F31" w14:textId="77777777" w:rsidR="00EF4E75" w:rsidRDefault="00000000">
            <w:pPr>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Tenaris </w:t>
            </w:r>
            <w:proofErr w:type="spellStart"/>
            <w:r>
              <w:rPr>
                <w:rFonts w:ascii="Times New Roman" w:eastAsia="Times New Roman" w:hAnsi="Times New Roman" w:cs="Times New Roman"/>
                <w:b/>
                <w:sz w:val="20"/>
                <w:szCs w:val="20"/>
              </w:rPr>
              <w:t>Tubocaribe</w:t>
            </w:r>
            <w:proofErr w:type="spellEnd"/>
          </w:p>
        </w:tc>
        <w:tc>
          <w:tcPr>
            <w:tcW w:w="1445" w:type="dxa"/>
            <w:tcBorders>
              <w:top w:val="single" w:sz="4" w:space="0" w:color="000000"/>
              <w:left w:val="nil"/>
              <w:bottom w:val="single" w:sz="4" w:space="0" w:color="000000"/>
              <w:right w:val="nil"/>
            </w:tcBorders>
            <w:tcMar>
              <w:top w:w="100" w:type="dxa"/>
              <w:left w:w="100" w:type="dxa"/>
              <w:bottom w:w="100" w:type="dxa"/>
              <w:right w:w="100" w:type="dxa"/>
            </w:tcMar>
            <w:vAlign w:val="center"/>
          </w:tcPr>
          <w:p w14:paraId="1BA49BEA" w14:textId="77777777" w:rsidR="00EF4E7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Inclusión de mujeres en una industria históricamente masculina. </w:t>
            </w:r>
          </w:p>
        </w:tc>
        <w:tc>
          <w:tcPr>
            <w:tcW w:w="1457" w:type="dxa"/>
            <w:tcBorders>
              <w:top w:val="single" w:sz="4" w:space="0" w:color="000000"/>
              <w:left w:val="nil"/>
              <w:bottom w:val="single" w:sz="4" w:space="0" w:color="000000"/>
              <w:right w:val="nil"/>
            </w:tcBorders>
            <w:tcMar>
              <w:top w:w="100" w:type="dxa"/>
              <w:left w:w="100" w:type="dxa"/>
              <w:bottom w:w="100" w:type="dxa"/>
              <w:right w:w="100" w:type="dxa"/>
            </w:tcMar>
            <w:vAlign w:val="center"/>
          </w:tcPr>
          <w:p w14:paraId="14FE185B" w14:textId="77777777" w:rsidR="00EF4E7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No presentan políticas que desarrollen este ítem. </w:t>
            </w:r>
          </w:p>
        </w:tc>
        <w:tc>
          <w:tcPr>
            <w:tcW w:w="1559" w:type="dxa"/>
            <w:tcBorders>
              <w:top w:val="single" w:sz="4" w:space="0" w:color="000000"/>
              <w:left w:val="nil"/>
              <w:bottom w:val="single" w:sz="4" w:space="0" w:color="000000"/>
              <w:right w:val="nil"/>
            </w:tcBorders>
            <w:tcMar>
              <w:top w:w="100" w:type="dxa"/>
              <w:left w:w="100" w:type="dxa"/>
              <w:bottom w:w="100" w:type="dxa"/>
              <w:right w:w="100" w:type="dxa"/>
            </w:tcMar>
            <w:vAlign w:val="center"/>
          </w:tcPr>
          <w:p w14:paraId="72F9254F" w14:textId="77777777" w:rsidR="00EF4E7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Promoción del crecimiento profesional femenino</w:t>
            </w:r>
          </w:p>
        </w:tc>
        <w:tc>
          <w:tcPr>
            <w:tcW w:w="1418" w:type="dxa"/>
            <w:tcBorders>
              <w:top w:val="single" w:sz="4" w:space="0" w:color="000000"/>
              <w:left w:val="nil"/>
              <w:bottom w:val="single" w:sz="4" w:space="0" w:color="000000"/>
              <w:right w:val="nil"/>
            </w:tcBorders>
            <w:tcMar>
              <w:top w:w="100" w:type="dxa"/>
              <w:left w:w="100" w:type="dxa"/>
              <w:bottom w:w="100" w:type="dxa"/>
              <w:right w:w="100" w:type="dxa"/>
            </w:tcMar>
            <w:vAlign w:val="center"/>
          </w:tcPr>
          <w:p w14:paraId="5B194820" w14:textId="77777777" w:rsidR="00EF4E7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Parte del programa de diversidad corporativa</w:t>
            </w:r>
          </w:p>
        </w:tc>
        <w:tc>
          <w:tcPr>
            <w:tcW w:w="1275" w:type="dxa"/>
            <w:tcBorders>
              <w:top w:val="single" w:sz="4" w:space="0" w:color="000000"/>
              <w:left w:val="nil"/>
              <w:bottom w:val="single" w:sz="4" w:space="0" w:color="000000"/>
              <w:right w:val="nil"/>
            </w:tcBorders>
            <w:tcMar>
              <w:top w:w="100" w:type="dxa"/>
              <w:left w:w="100" w:type="dxa"/>
              <w:bottom w:w="100" w:type="dxa"/>
              <w:right w:w="100" w:type="dxa"/>
            </w:tcMar>
            <w:vAlign w:val="center"/>
          </w:tcPr>
          <w:p w14:paraId="73F0DA59" w14:textId="77777777" w:rsidR="00EF4E7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No especificado</w:t>
            </w:r>
          </w:p>
        </w:tc>
        <w:tc>
          <w:tcPr>
            <w:tcW w:w="1134" w:type="dxa"/>
            <w:tcBorders>
              <w:top w:val="single" w:sz="4" w:space="0" w:color="000000"/>
              <w:left w:val="nil"/>
              <w:bottom w:val="single" w:sz="4" w:space="0" w:color="000000"/>
              <w:right w:val="nil"/>
            </w:tcBorders>
            <w:tcMar>
              <w:top w:w="100" w:type="dxa"/>
              <w:left w:w="100" w:type="dxa"/>
              <w:bottom w:w="100" w:type="dxa"/>
              <w:right w:w="100" w:type="dxa"/>
            </w:tcMar>
            <w:vAlign w:val="center"/>
          </w:tcPr>
          <w:p w14:paraId="79F589A8" w14:textId="77777777" w:rsidR="00EF4E7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Certificación Equipares garantiza ambientes laborales igualitarios</w:t>
            </w:r>
          </w:p>
        </w:tc>
        <w:tc>
          <w:tcPr>
            <w:tcW w:w="1433" w:type="dxa"/>
            <w:tcBorders>
              <w:top w:val="single" w:sz="4" w:space="0" w:color="000000"/>
              <w:left w:val="nil"/>
              <w:bottom w:val="single" w:sz="4" w:space="0" w:color="000000"/>
              <w:right w:val="nil"/>
            </w:tcBorders>
            <w:tcMar>
              <w:top w:w="100" w:type="dxa"/>
              <w:left w:w="100" w:type="dxa"/>
              <w:bottom w:w="100" w:type="dxa"/>
              <w:right w:w="100" w:type="dxa"/>
            </w:tcMar>
            <w:vAlign w:val="center"/>
          </w:tcPr>
          <w:p w14:paraId="5BAEDFA6" w14:textId="77777777" w:rsidR="00EF4E7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Se presume por Equipares</w:t>
            </w:r>
          </w:p>
        </w:tc>
        <w:tc>
          <w:tcPr>
            <w:tcW w:w="1940" w:type="dxa"/>
            <w:tcBorders>
              <w:top w:val="single" w:sz="4" w:space="0" w:color="000000"/>
              <w:left w:val="nil"/>
              <w:bottom w:val="single" w:sz="4" w:space="0" w:color="000000"/>
              <w:right w:val="nil"/>
            </w:tcBorders>
            <w:tcMar>
              <w:top w:w="100" w:type="dxa"/>
              <w:left w:w="100" w:type="dxa"/>
              <w:bottom w:w="100" w:type="dxa"/>
              <w:right w:w="100" w:type="dxa"/>
            </w:tcMar>
            <w:vAlign w:val="center"/>
          </w:tcPr>
          <w:p w14:paraId="5EC6D99D" w14:textId="77777777" w:rsidR="00EF4E7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Canales de comunicación destinados a las mujeres </w:t>
            </w:r>
          </w:p>
        </w:tc>
      </w:tr>
      <w:tr w:rsidR="00EF4E75" w14:paraId="75A0BF79" w14:textId="77777777">
        <w:trPr>
          <w:trHeight w:val="9"/>
        </w:trPr>
        <w:tc>
          <w:tcPr>
            <w:tcW w:w="1346" w:type="dxa"/>
            <w:tcBorders>
              <w:top w:val="single" w:sz="4" w:space="0" w:color="000000"/>
              <w:left w:val="nil"/>
              <w:bottom w:val="single" w:sz="4" w:space="0" w:color="000000"/>
              <w:right w:val="nil"/>
            </w:tcBorders>
            <w:tcMar>
              <w:top w:w="100" w:type="dxa"/>
              <w:left w:w="100" w:type="dxa"/>
              <w:bottom w:w="100" w:type="dxa"/>
              <w:right w:w="100" w:type="dxa"/>
            </w:tcMar>
          </w:tcPr>
          <w:p w14:paraId="01A38E61" w14:textId="77777777" w:rsidR="00EF4E75" w:rsidRDefault="00000000">
            <w:pPr>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Caja Compensación del Huila</w:t>
            </w:r>
          </w:p>
        </w:tc>
        <w:tc>
          <w:tcPr>
            <w:tcW w:w="1445" w:type="dxa"/>
            <w:tcBorders>
              <w:top w:val="single" w:sz="4" w:space="0" w:color="000000"/>
              <w:left w:val="nil"/>
              <w:bottom w:val="single" w:sz="4" w:space="0" w:color="000000"/>
              <w:right w:val="nil"/>
            </w:tcBorders>
            <w:tcMar>
              <w:top w:w="100" w:type="dxa"/>
              <w:left w:w="100" w:type="dxa"/>
              <w:bottom w:w="100" w:type="dxa"/>
              <w:right w:w="100" w:type="dxa"/>
            </w:tcMar>
          </w:tcPr>
          <w:p w14:paraId="7A99E25F" w14:textId="77777777" w:rsidR="00EF4E7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Promoción de inclusión laboral femenina</w:t>
            </w:r>
          </w:p>
        </w:tc>
        <w:tc>
          <w:tcPr>
            <w:tcW w:w="1457" w:type="dxa"/>
            <w:tcBorders>
              <w:top w:val="single" w:sz="4" w:space="0" w:color="000000"/>
              <w:left w:val="nil"/>
              <w:bottom w:val="single" w:sz="4" w:space="0" w:color="000000"/>
              <w:right w:val="nil"/>
            </w:tcBorders>
            <w:tcMar>
              <w:top w:w="100" w:type="dxa"/>
              <w:left w:w="100" w:type="dxa"/>
              <w:bottom w:w="100" w:type="dxa"/>
              <w:right w:w="100" w:type="dxa"/>
            </w:tcMar>
          </w:tcPr>
          <w:p w14:paraId="7C8E4D1F" w14:textId="77777777" w:rsidR="00EF4E7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Gestión transparente del talento</w:t>
            </w:r>
          </w:p>
        </w:tc>
        <w:tc>
          <w:tcPr>
            <w:tcW w:w="1559" w:type="dxa"/>
            <w:tcBorders>
              <w:top w:val="single" w:sz="4" w:space="0" w:color="000000"/>
              <w:left w:val="nil"/>
              <w:bottom w:val="single" w:sz="4" w:space="0" w:color="000000"/>
              <w:right w:val="nil"/>
            </w:tcBorders>
            <w:tcMar>
              <w:top w:w="100" w:type="dxa"/>
              <w:left w:w="100" w:type="dxa"/>
              <w:bottom w:w="100" w:type="dxa"/>
              <w:right w:w="100" w:type="dxa"/>
            </w:tcMar>
          </w:tcPr>
          <w:p w14:paraId="7A319851" w14:textId="77777777" w:rsidR="00EF4E7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Maternidad presente como derecho laboral</w:t>
            </w:r>
          </w:p>
        </w:tc>
        <w:tc>
          <w:tcPr>
            <w:tcW w:w="1418" w:type="dxa"/>
            <w:tcBorders>
              <w:top w:val="single" w:sz="4" w:space="0" w:color="000000"/>
              <w:left w:val="nil"/>
              <w:bottom w:val="single" w:sz="4" w:space="0" w:color="000000"/>
              <w:right w:val="nil"/>
            </w:tcBorders>
            <w:tcMar>
              <w:top w:w="100" w:type="dxa"/>
              <w:left w:w="100" w:type="dxa"/>
              <w:bottom w:w="100" w:type="dxa"/>
              <w:right w:w="100" w:type="dxa"/>
            </w:tcMar>
          </w:tcPr>
          <w:p w14:paraId="5BAD5795" w14:textId="77777777" w:rsidR="00EF4E7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No especificado claramente</w:t>
            </w:r>
          </w:p>
        </w:tc>
        <w:tc>
          <w:tcPr>
            <w:tcW w:w="1275" w:type="dxa"/>
            <w:tcBorders>
              <w:top w:val="single" w:sz="4" w:space="0" w:color="000000"/>
              <w:left w:val="nil"/>
              <w:bottom w:val="single" w:sz="4" w:space="0" w:color="000000"/>
              <w:right w:val="nil"/>
            </w:tcBorders>
            <w:tcMar>
              <w:top w:w="100" w:type="dxa"/>
              <w:left w:w="100" w:type="dxa"/>
              <w:bottom w:w="100" w:type="dxa"/>
              <w:right w:w="100" w:type="dxa"/>
            </w:tcMar>
          </w:tcPr>
          <w:p w14:paraId="2405C838" w14:textId="77777777" w:rsidR="00EF4E7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Apoyo a necesidades específicas como el ciclo menstrual y maternidad</w:t>
            </w:r>
          </w:p>
        </w:tc>
        <w:tc>
          <w:tcPr>
            <w:tcW w:w="1134" w:type="dxa"/>
            <w:tcBorders>
              <w:top w:val="single" w:sz="4" w:space="0" w:color="000000"/>
              <w:left w:val="nil"/>
              <w:bottom w:val="single" w:sz="4" w:space="0" w:color="000000"/>
              <w:right w:val="nil"/>
            </w:tcBorders>
            <w:tcMar>
              <w:top w:w="100" w:type="dxa"/>
              <w:left w:w="100" w:type="dxa"/>
              <w:bottom w:w="100" w:type="dxa"/>
              <w:right w:w="100" w:type="dxa"/>
            </w:tcMar>
          </w:tcPr>
          <w:p w14:paraId="0CDEE510" w14:textId="77777777" w:rsidR="00EF4E7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Mejora del clima laboral con enfoque de género</w:t>
            </w:r>
          </w:p>
        </w:tc>
        <w:tc>
          <w:tcPr>
            <w:tcW w:w="1433" w:type="dxa"/>
            <w:tcBorders>
              <w:top w:val="single" w:sz="4" w:space="0" w:color="000000"/>
              <w:left w:val="nil"/>
              <w:bottom w:val="single" w:sz="4" w:space="0" w:color="000000"/>
              <w:right w:val="nil"/>
            </w:tcBorders>
            <w:tcMar>
              <w:top w:w="100" w:type="dxa"/>
              <w:left w:w="100" w:type="dxa"/>
              <w:bottom w:w="100" w:type="dxa"/>
              <w:right w:w="100" w:type="dxa"/>
            </w:tcMar>
          </w:tcPr>
          <w:p w14:paraId="5E064CAF" w14:textId="77777777" w:rsidR="00EF4E7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Ninguno. </w:t>
            </w:r>
          </w:p>
        </w:tc>
        <w:tc>
          <w:tcPr>
            <w:tcW w:w="1940" w:type="dxa"/>
            <w:tcBorders>
              <w:top w:val="single" w:sz="4" w:space="0" w:color="000000"/>
              <w:left w:val="nil"/>
              <w:bottom w:val="single" w:sz="4" w:space="0" w:color="000000"/>
              <w:right w:val="nil"/>
            </w:tcBorders>
            <w:tcMar>
              <w:top w:w="100" w:type="dxa"/>
              <w:left w:w="100" w:type="dxa"/>
              <w:bottom w:w="100" w:type="dxa"/>
              <w:right w:w="100" w:type="dxa"/>
            </w:tcMar>
          </w:tcPr>
          <w:p w14:paraId="32B8C66B" w14:textId="77777777" w:rsidR="00EF4E7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Imagen corporativa inclusiva</w:t>
            </w:r>
          </w:p>
        </w:tc>
      </w:tr>
    </w:tbl>
    <w:p w14:paraId="32DE8589" w14:textId="77777777" w:rsidR="00EF4E75" w:rsidRDefault="00000000">
      <w:pPr>
        <w:widowControl w:val="0"/>
        <w:spacing w:line="360" w:lineRule="auto"/>
        <w:rPr>
          <w:rFonts w:ascii="Times New Roman" w:eastAsia="Times New Roman" w:hAnsi="Times New Roman" w:cs="Times New Roman"/>
          <w:sz w:val="24"/>
          <w:szCs w:val="24"/>
        </w:rPr>
        <w:sectPr w:rsidR="00EF4E75">
          <w:pgSz w:w="15840" w:h="12240" w:orient="landscape"/>
          <w:pgMar w:top="1701" w:right="1701" w:bottom="1701" w:left="1701" w:header="720" w:footer="720" w:gutter="0"/>
          <w:pgNumType w:start="0"/>
          <w:cols w:space="720"/>
        </w:sectPr>
      </w:pPr>
      <w:r>
        <w:rPr>
          <w:rFonts w:ascii="Times New Roman" w:eastAsia="Times New Roman" w:hAnsi="Times New Roman" w:cs="Times New Roman"/>
          <w:b/>
          <w:i/>
          <w:sz w:val="24"/>
          <w:szCs w:val="24"/>
        </w:rPr>
        <w:t>Fuente:</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Elaboración propia. </w:t>
      </w:r>
    </w:p>
    <w:p w14:paraId="1DB5A6EC"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La certificación Equipares determina cuales son las políticas comunes que llevan a cabo estas empresas para ser consideradas como destacables en el país y América Latina, estas consideraciones se encuentran evaluadas por el cumplimiento de ocho dimensiones: reclutamiento, remuneración, desarrollo profesional, capacitación, conciliación de la vida laboral y personal, ambiente de trabajo, acoso laboral y sexual, y comunicación no sexista. Estos elementos son cruciales en el diagnóstico, partiendo de ellos las empresas mencionadas en la Tabla 1 implementan planes de acción y someten sus procesos de contratación, seguimiento y producción a constante autoevaluación y retroalimentación, para garantizar un trabajo certero en torno a la igualdad e incorporación con enfoque de género, son tomadas en cuenta cada una de las experiencias laborales de sus empleados.</w:t>
      </w:r>
    </w:p>
    <w:p w14:paraId="5CD17084" w14:textId="77777777" w:rsidR="00EF4E75" w:rsidRDefault="00000000">
      <w:pPr>
        <w:widowControl w:val="0"/>
        <w:spacing w:line="360" w:lineRule="auto"/>
        <w:ind w:firstLine="720"/>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Por ello se entiende que no basta con la formulación de las políticas, esto no tendría una materialización efectiva, muchas empresas pueden formular estrategias llamativas para el público, sin embargo, el que sean tomadas en cuenta por Equipares depende del estricto cumplimiento en el protocolo interno y externo que lleva a cambios progresivos donde existan mediciones de cómo se mejora la calidad de vida de mujeres vinculadas a sus equipos de trabajo según el contexto sociocultural de cada una de ellas. Uno de los incentivos que lleva a que las empresas deseen participar de la implementación de las rutas de paridad de género es el incremento en el valor de sus gestiones sociales que logran posicionamiento dentro de las preferencias del mercado. </w:t>
      </w:r>
    </w:p>
    <w:p w14:paraId="69D66E6A" w14:textId="77777777" w:rsidR="00EF4E75" w:rsidRDefault="00EF4E75">
      <w:pPr>
        <w:widowControl w:val="0"/>
        <w:spacing w:line="360" w:lineRule="auto"/>
        <w:jc w:val="center"/>
        <w:rPr>
          <w:rFonts w:ascii="Times New Roman" w:eastAsia="Times New Roman" w:hAnsi="Times New Roman" w:cs="Times New Roman"/>
          <w:b/>
          <w:sz w:val="24"/>
          <w:szCs w:val="24"/>
        </w:rPr>
      </w:pPr>
      <w:bookmarkStart w:id="4" w:name="_sr5kmlqdgm4r" w:colFirst="0" w:colLast="0"/>
      <w:bookmarkEnd w:id="4"/>
    </w:p>
    <w:p w14:paraId="6256B904" w14:textId="77777777" w:rsidR="00EF4E75" w:rsidRDefault="00000000">
      <w:pPr>
        <w:widowControl w:val="0"/>
        <w:spacing w:line="360" w:lineRule="auto"/>
        <w:jc w:val="center"/>
        <w:rPr>
          <w:rFonts w:ascii="Times New Roman" w:eastAsia="Times New Roman" w:hAnsi="Times New Roman" w:cs="Times New Roman"/>
          <w:b/>
          <w:sz w:val="24"/>
          <w:szCs w:val="24"/>
        </w:rPr>
      </w:pPr>
      <w:bookmarkStart w:id="5" w:name="_q2uye6go3h3f" w:colFirst="0" w:colLast="0"/>
      <w:bookmarkEnd w:id="5"/>
      <w:r>
        <w:rPr>
          <w:rFonts w:ascii="Times New Roman" w:eastAsia="Times New Roman" w:hAnsi="Times New Roman" w:cs="Times New Roman"/>
          <w:b/>
          <w:sz w:val="24"/>
          <w:szCs w:val="24"/>
        </w:rPr>
        <w:t xml:space="preserve">CONCLUSIONES </w:t>
      </w:r>
    </w:p>
    <w:p w14:paraId="3404A67F" w14:textId="77777777" w:rsidR="00EF4E75" w:rsidRDefault="00EF4E75">
      <w:pPr>
        <w:widowControl w:val="0"/>
        <w:spacing w:line="360" w:lineRule="auto"/>
        <w:rPr>
          <w:rFonts w:ascii="Times New Roman" w:eastAsia="Times New Roman" w:hAnsi="Times New Roman" w:cs="Times New Roman"/>
          <w:sz w:val="24"/>
          <w:szCs w:val="24"/>
        </w:rPr>
      </w:pPr>
    </w:p>
    <w:p w14:paraId="31741A06"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 presente artículo analizó la implementación de las políticas de responsabilidad social empresarial con enfoque de género en empresas colombianas certificadas con el sello equipares, mediante un estudio de caso con enfoque etnográfico digital, se conceptualizaron la responsabilidad social </w:t>
      </w:r>
      <w:proofErr w:type="gramStart"/>
      <w:r>
        <w:rPr>
          <w:rFonts w:ascii="Times New Roman" w:eastAsia="Times New Roman" w:hAnsi="Times New Roman" w:cs="Times New Roman"/>
          <w:sz w:val="24"/>
          <w:szCs w:val="24"/>
        </w:rPr>
        <w:t>empresarial,  la</w:t>
      </w:r>
      <w:proofErr w:type="gramEnd"/>
      <w:r>
        <w:rPr>
          <w:rFonts w:ascii="Times New Roman" w:eastAsia="Times New Roman" w:hAnsi="Times New Roman" w:cs="Times New Roman"/>
          <w:sz w:val="24"/>
          <w:szCs w:val="24"/>
        </w:rPr>
        <w:t xml:space="preserve"> igualdad y el enfoque de género. También se contextualiza el marco normativo nacional e internacional y a partir de allí se examinaron las </w:t>
      </w:r>
      <w:r>
        <w:rPr>
          <w:rFonts w:ascii="Times New Roman" w:eastAsia="Times New Roman" w:hAnsi="Times New Roman" w:cs="Times New Roman"/>
          <w:sz w:val="24"/>
          <w:szCs w:val="24"/>
        </w:rPr>
        <w:lastRenderedPageBreak/>
        <w:t>experiencias de las empresas COLOMBINA S.A</w:t>
      </w:r>
      <w:proofErr w:type="gramStart"/>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sanofipasteur</w:t>
      </w:r>
      <w:proofErr w:type="spellEnd"/>
      <w:proofErr w:type="gramEnd"/>
      <w:r>
        <w:rPr>
          <w:rFonts w:ascii="Times New Roman" w:eastAsia="Times New Roman" w:hAnsi="Times New Roman" w:cs="Times New Roman"/>
          <w:sz w:val="24"/>
          <w:szCs w:val="24"/>
        </w:rPr>
        <w:t xml:space="preserve">,  servicios </w:t>
      </w:r>
      <w:proofErr w:type="spellStart"/>
      <w:r>
        <w:rPr>
          <w:rFonts w:ascii="Times New Roman" w:eastAsia="Times New Roman" w:hAnsi="Times New Roman" w:cs="Times New Roman"/>
          <w:sz w:val="24"/>
          <w:szCs w:val="24"/>
        </w:rPr>
        <w:t>nutresa</w:t>
      </w:r>
      <w:proofErr w:type="spellEnd"/>
      <w:r>
        <w:rPr>
          <w:rFonts w:ascii="Times New Roman" w:eastAsia="Times New Roman" w:hAnsi="Times New Roman" w:cs="Times New Roman"/>
          <w:sz w:val="24"/>
          <w:szCs w:val="24"/>
        </w:rPr>
        <w:t xml:space="preserve">,  Tenaris Tubo Caribe y la Caja de compensación familiar del Huila.  Empresas que ya han sido reconocidas por su avance en equidad laboral y su contribución a las políticas pasadas en la igualdad de género como sistema de gestión empresarial. </w:t>
      </w:r>
    </w:p>
    <w:p w14:paraId="4E172162" w14:textId="77777777" w:rsidR="00EF4E75" w:rsidRDefault="00EF4E75">
      <w:pPr>
        <w:widowControl w:val="0"/>
        <w:spacing w:line="360" w:lineRule="auto"/>
        <w:ind w:firstLine="720"/>
        <w:jc w:val="both"/>
        <w:rPr>
          <w:rFonts w:ascii="Times New Roman" w:eastAsia="Times New Roman" w:hAnsi="Times New Roman" w:cs="Times New Roman"/>
          <w:sz w:val="24"/>
          <w:szCs w:val="24"/>
        </w:rPr>
      </w:pPr>
    </w:p>
    <w:p w14:paraId="68689832"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Los hallazgos mostraron que aunque no existe una obligación legal para adoptar modelos específicos de equidad de </w:t>
      </w:r>
      <w:proofErr w:type="gramStart"/>
      <w:r>
        <w:rPr>
          <w:rFonts w:ascii="Times New Roman" w:eastAsia="Times New Roman" w:hAnsi="Times New Roman" w:cs="Times New Roman"/>
          <w:sz w:val="24"/>
          <w:szCs w:val="24"/>
        </w:rPr>
        <w:t>género,  el</w:t>
      </w:r>
      <w:proofErr w:type="gramEnd"/>
      <w:r>
        <w:rPr>
          <w:rFonts w:ascii="Times New Roman" w:eastAsia="Times New Roman" w:hAnsi="Times New Roman" w:cs="Times New Roman"/>
          <w:sz w:val="24"/>
          <w:szCs w:val="24"/>
        </w:rPr>
        <w:t xml:space="preserve"> sello equipares se constituye como un mecanismo voluntario que ofrece a las organizaciones una ruta flexible y efectiva para avanzar en esta materia.  esta flexibilidad deriva En diferentes niveles de </w:t>
      </w:r>
      <w:proofErr w:type="gramStart"/>
      <w:r>
        <w:rPr>
          <w:rFonts w:ascii="Times New Roman" w:eastAsia="Times New Roman" w:hAnsi="Times New Roman" w:cs="Times New Roman"/>
          <w:sz w:val="24"/>
          <w:szCs w:val="24"/>
        </w:rPr>
        <w:t>apropiación,  dado</w:t>
      </w:r>
      <w:proofErr w:type="gramEnd"/>
      <w:r>
        <w:rPr>
          <w:rFonts w:ascii="Times New Roman" w:eastAsia="Times New Roman" w:hAnsi="Times New Roman" w:cs="Times New Roman"/>
          <w:sz w:val="24"/>
          <w:szCs w:val="24"/>
        </w:rPr>
        <w:t xml:space="preserve"> que la adaptabilidad es progresiva,  Asimismo se destacan los logros siendo más exitosas aquellas empresas que lograron articular en sus políticas una cultura organizacional que muestra la equidad eficaz,  lo que puede interpretarse como un resultado que va más allá de la construcción de la política empresarial,  Pues hay números que respaldan la gestión. </w:t>
      </w:r>
    </w:p>
    <w:p w14:paraId="0FA3B013" w14:textId="77777777" w:rsidR="00EF4E75" w:rsidRDefault="00EF4E75">
      <w:pPr>
        <w:widowControl w:val="0"/>
        <w:spacing w:line="360" w:lineRule="auto"/>
        <w:ind w:firstLine="720"/>
        <w:jc w:val="both"/>
        <w:rPr>
          <w:rFonts w:ascii="Times New Roman" w:eastAsia="Times New Roman" w:hAnsi="Times New Roman" w:cs="Times New Roman"/>
          <w:sz w:val="24"/>
          <w:szCs w:val="24"/>
        </w:rPr>
      </w:pPr>
    </w:p>
    <w:p w14:paraId="15A690B0"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Una evaluación crítica de las estrategias implementadas reveló que las más efectivas dentro de las cinco </w:t>
      </w:r>
      <w:proofErr w:type="gramStart"/>
      <w:r>
        <w:rPr>
          <w:rFonts w:ascii="Times New Roman" w:eastAsia="Times New Roman" w:hAnsi="Times New Roman" w:cs="Times New Roman"/>
          <w:sz w:val="24"/>
          <w:szCs w:val="24"/>
        </w:rPr>
        <w:t>empresas  seleccionadas</w:t>
      </w:r>
      <w:proofErr w:type="gramEnd"/>
      <w:r>
        <w:rPr>
          <w:rFonts w:ascii="Times New Roman" w:eastAsia="Times New Roman" w:hAnsi="Times New Roman" w:cs="Times New Roman"/>
          <w:sz w:val="24"/>
          <w:szCs w:val="24"/>
        </w:rPr>
        <w:t xml:space="preserve"> en el estudio de caso fueron aquellas con enfoque transversal,  sostenidas en el tiempo,  y respaldadas por indicadores claros.  Tal es el caso de Sanofi </w:t>
      </w:r>
      <w:proofErr w:type="spellStart"/>
      <w:r>
        <w:rPr>
          <w:rFonts w:ascii="Times New Roman" w:eastAsia="Times New Roman" w:hAnsi="Times New Roman" w:cs="Times New Roman"/>
          <w:sz w:val="24"/>
          <w:szCs w:val="24"/>
        </w:rPr>
        <w:t>pasteur</w:t>
      </w:r>
      <w:proofErr w:type="spellEnd"/>
      <w:r>
        <w:rPr>
          <w:rFonts w:ascii="Times New Roman" w:eastAsia="Times New Roman" w:hAnsi="Times New Roman" w:cs="Times New Roman"/>
          <w:sz w:val="24"/>
          <w:szCs w:val="24"/>
        </w:rPr>
        <w:t xml:space="preserve"> y COLOMBINA S.A.  que integraron políticas de Liderazgo </w:t>
      </w:r>
      <w:proofErr w:type="gramStart"/>
      <w:r>
        <w:rPr>
          <w:rFonts w:ascii="Times New Roman" w:eastAsia="Times New Roman" w:hAnsi="Times New Roman" w:cs="Times New Roman"/>
          <w:sz w:val="24"/>
          <w:szCs w:val="24"/>
        </w:rPr>
        <w:t>femenino,  procesos</w:t>
      </w:r>
      <w:proofErr w:type="gramEnd"/>
      <w:r>
        <w:rPr>
          <w:rFonts w:ascii="Times New Roman" w:eastAsia="Times New Roman" w:hAnsi="Times New Roman" w:cs="Times New Roman"/>
          <w:sz w:val="24"/>
          <w:szCs w:val="24"/>
        </w:rPr>
        <w:t xml:space="preserve"> de formación continua con proyección y escalabilidad,  también medidas para prevenir el acoso laboral y sexual, Lo que permitió consolidar una cultura inclusiva y que se proyecten sus liderazgos en entornos internacionales.  Estas experiencias ponen en evidencia el éxito relacionado con un compromiso institucional </w:t>
      </w:r>
      <w:proofErr w:type="gramStart"/>
      <w:r>
        <w:rPr>
          <w:rFonts w:ascii="Times New Roman" w:eastAsia="Times New Roman" w:hAnsi="Times New Roman" w:cs="Times New Roman"/>
          <w:sz w:val="24"/>
          <w:szCs w:val="24"/>
        </w:rPr>
        <w:t>claro  y</w:t>
      </w:r>
      <w:proofErr w:type="gramEnd"/>
      <w:r>
        <w:rPr>
          <w:rFonts w:ascii="Times New Roman" w:eastAsia="Times New Roman" w:hAnsi="Times New Roman" w:cs="Times New Roman"/>
          <w:sz w:val="24"/>
          <w:szCs w:val="24"/>
        </w:rPr>
        <w:t xml:space="preserve"> con una visión cuya coherencia se encuentra sujeta al discurso y su materialización. </w:t>
      </w:r>
    </w:p>
    <w:p w14:paraId="320963DD" w14:textId="77777777" w:rsidR="00EF4E75" w:rsidRDefault="00EF4E75">
      <w:pPr>
        <w:widowControl w:val="0"/>
        <w:spacing w:line="360" w:lineRule="auto"/>
        <w:ind w:firstLine="720"/>
        <w:jc w:val="both"/>
        <w:rPr>
          <w:rFonts w:ascii="Times New Roman" w:eastAsia="Times New Roman" w:hAnsi="Times New Roman" w:cs="Times New Roman"/>
          <w:sz w:val="24"/>
          <w:szCs w:val="24"/>
        </w:rPr>
      </w:pPr>
    </w:p>
    <w:p w14:paraId="2D48EA68"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Por otro lado se observaron limitaciones en la implementación de algunas dimensiones del sello como la corresponsabilidad </w:t>
      </w:r>
      <w:proofErr w:type="gramStart"/>
      <w:r>
        <w:rPr>
          <w:rFonts w:ascii="Times New Roman" w:eastAsia="Times New Roman" w:hAnsi="Times New Roman" w:cs="Times New Roman"/>
          <w:sz w:val="24"/>
          <w:szCs w:val="24"/>
        </w:rPr>
        <w:t>familiar,  la</w:t>
      </w:r>
      <w:proofErr w:type="gramEnd"/>
      <w:r>
        <w:rPr>
          <w:rFonts w:ascii="Times New Roman" w:eastAsia="Times New Roman" w:hAnsi="Times New Roman" w:cs="Times New Roman"/>
          <w:sz w:val="24"/>
          <w:szCs w:val="24"/>
        </w:rPr>
        <w:t xml:space="preserve"> prevención del acoso y la comunicación no sexista.  Estas dimensiones suelen no ser tan desarrolladas debido a las </w:t>
      </w:r>
      <w:r>
        <w:rPr>
          <w:rFonts w:ascii="Times New Roman" w:eastAsia="Times New Roman" w:hAnsi="Times New Roman" w:cs="Times New Roman"/>
          <w:sz w:val="24"/>
          <w:szCs w:val="24"/>
        </w:rPr>
        <w:lastRenderedPageBreak/>
        <w:t xml:space="preserve">barreras culturales persistentes y a lo difícil que resulta modificar prácticas laborales tradicionales que no siempre reconocen el impacto del entorno doméstico en el bienestar laboral, esta brecha sugiere </w:t>
      </w:r>
      <w:proofErr w:type="gramStart"/>
      <w:r>
        <w:rPr>
          <w:rFonts w:ascii="Times New Roman" w:eastAsia="Times New Roman" w:hAnsi="Times New Roman" w:cs="Times New Roman"/>
          <w:sz w:val="24"/>
          <w:szCs w:val="24"/>
        </w:rPr>
        <w:t>que</w:t>
      </w:r>
      <w:proofErr w:type="gramEnd"/>
      <w:r>
        <w:rPr>
          <w:rFonts w:ascii="Times New Roman" w:eastAsia="Times New Roman" w:hAnsi="Times New Roman" w:cs="Times New Roman"/>
          <w:sz w:val="24"/>
          <w:szCs w:val="24"/>
        </w:rPr>
        <w:t xml:space="preserve"> aunque se han logrado avances relevantes puesto que existen aspectos estructurales que requieren un abordaje más profundo. </w:t>
      </w:r>
    </w:p>
    <w:p w14:paraId="61555871" w14:textId="77777777" w:rsidR="00EF4E75" w:rsidRDefault="00EF4E75">
      <w:pPr>
        <w:widowControl w:val="0"/>
        <w:spacing w:line="360" w:lineRule="auto"/>
        <w:ind w:firstLine="720"/>
        <w:jc w:val="both"/>
        <w:rPr>
          <w:rFonts w:ascii="Times New Roman" w:eastAsia="Times New Roman" w:hAnsi="Times New Roman" w:cs="Times New Roman"/>
          <w:sz w:val="24"/>
          <w:szCs w:val="24"/>
        </w:rPr>
      </w:pPr>
    </w:p>
    <w:p w14:paraId="222EDDE4"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 igualdad de género en el entorno empresarial se presenta no solo como una cuestión de Justicia </w:t>
      </w:r>
      <w:proofErr w:type="gramStart"/>
      <w:r>
        <w:rPr>
          <w:rFonts w:ascii="Times New Roman" w:eastAsia="Times New Roman" w:hAnsi="Times New Roman" w:cs="Times New Roman"/>
          <w:sz w:val="24"/>
          <w:szCs w:val="24"/>
        </w:rPr>
        <w:t>social,  sino</w:t>
      </w:r>
      <w:proofErr w:type="gramEnd"/>
      <w:r>
        <w:rPr>
          <w:rFonts w:ascii="Times New Roman" w:eastAsia="Times New Roman" w:hAnsi="Times New Roman" w:cs="Times New Roman"/>
          <w:sz w:val="24"/>
          <w:szCs w:val="24"/>
        </w:rPr>
        <w:t xml:space="preserve"> también como un eje estratégico para la sostenibilidad la competitividad y el fortalecimiento del clima organizacional la voluntad del sector privado de integrar políticas de equidad ya fuese por conciencia social o por adaptación a mercados exigentes demuestra que la equidad debe consolidarse como un valor indispensable de las organizaciones. </w:t>
      </w:r>
    </w:p>
    <w:p w14:paraId="7B032A73" w14:textId="77777777" w:rsidR="00EF4E75" w:rsidRDefault="00EF4E75">
      <w:pPr>
        <w:widowControl w:val="0"/>
        <w:spacing w:line="360" w:lineRule="auto"/>
        <w:ind w:firstLine="720"/>
        <w:jc w:val="both"/>
        <w:rPr>
          <w:rFonts w:ascii="Times New Roman" w:eastAsia="Times New Roman" w:hAnsi="Times New Roman" w:cs="Times New Roman"/>
          <w:sz w:val="24"/>
          <w:szCs w:val="24"/>
        </w:rPr>
      </w:pPr>
    </w:p>
    <w:p w14:paraId="43806794"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Desde una perspectiva normativa como lo indica la resolución del segundo objetivo específico se resalta que la Constitución Política de Colombia no impone dentro de la </w:t>
      </w:r>
      <w:proofErr w:type="gramStart"/>
      <w:r>
        <w:rPr>
          <w:rFonts w:ascii="Times New Roman" w:eastAsia="Times New Roman" w:hAnsi="Times New Roman" w:cs="Times New Roman"/>
          <w:sz w:val="24"/>
          <w:szCs w:val="24"/>
        </w:rPr>
        <w:t>jerarquización  empresarial</w:t>
      </w:r>
      <w:proofErr w:type="gramEnd"/>
      <w:r>
        <w:rPr>
          <w:rFonts w:ascii="Times New Roman" w:eastAsia="Times New Roman" w:hAnsi="Times New Roman" w:cs="Times New Roman"/>
          <w:sz w:val="24"/>
          <w:szCs w:val="24"/>
        </w:rPr>
        <w:t xml:space="preserve"> que exista una cuota femenina Pero sí promueve medidas de acción afirmativa que busquen garantizar el acceso equitativo a las condiciones dignas de empleo. Esta base normativa brinda soporte a las políticas que puedan estructurarse en las empresas que permitan superar desigualdades históricas que afectan a las mujeres. </w:t>
      </w:r>
    </w:p>
    <w:p w14:paraId="30125E86" w14:textId="77777777" w:rsidR="00EF4E75" w:rsidRDefault="00EF4E75">
      <w:pPr>
        <w:widowControl w:val="0"/>
        <w:spacing w:line="360" w:lineRule="auto"/>
        <w:ind w:firstLine="720"/>
        <w:jc w:val="both"/>
        <w:rPr>
          <w:rFonts w:ascii="Times New Roman" w:eastAsia="Times New Roman" w:hAnsi="Times New Roman" w:cs="Times New Roman"/>
          <w:sz w:val="24"/>
          <w:szCs w:val="24"/>
        </w:rPr>
      </w:pPr>
    </w:p>
    <w:p w14:paraId="4BC118A4"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aplicación de la pirámide de responsabilidad social empresarial propuesta por Carroll (1991</w:t>
      </w:r>
      <w:proofErr w:type="gramStart"/>
      <w:r>
        <w:rPr>
          <w:rFonts w:ascii="Times New Roman" w:eastAsia="Times New Roman" w:hAnsi="Times New Roman" w:cs="Times New Roman"/>
          <w:sz w:val="24"/>
          <w:szCs w:val="24"/>
        </w:rPr>
        <w:t>)  permitió</w:t>
      </w:r>
      <w:proofErr w:type="gramEnd"/>
      <w:r>
        <w:rPr>
          <w:rFonts w:ascii="Times New Roman" w:eastAsia="Times New Roman" w:hAnsi="Times New Roman" w:cs="Times New Roman"/>
          <w:sz w:val="24"/>
          <w:szCs w:val="24"/>
        </w:rPr>
        <w:t xml:space="preserve"> comprender que la responsabilidad empresarial no se limita al cumplimiento de lo legal o económico sino que abarca deberes éticos y filantrópicos con un impacto directo en la sociedad,  las empresas modelan comportamientos relaciones y valores.  lo cual refuerza la importancia de adoptar un enfoque transformador y no meramente simbólico.</w:t>
      </w:r>
    </w:p>
    <w:p w14:paraId="49DB1CE0" w14:textId="77777777" w:rsidR="00EF4E75" w:rsidRDefault="00EF4E75">
      <w:pPr>
        <w:widowControl w:val="0"/>
        <w:spacing w:line="360" w:lineRule="auto"/>
        <w:ind w:firstLine="720"/>
        <w:jc w:val="both"/>
        <w:rPr>
          <w:rFonts w:ascii="Times New Roman" w:eastAsia="Times New Roman" w:hAnsi="Times New Roman" w:cs="Times New Roman"/>
          <w:sz w:val="24"/>
          <w:szCs w:val="24"/>
        </w:rPr>
      </w:pPr>
    </w:p>
    <w:p w14:paraId="75EF9A48" w14:textId="77777777" w:rsidR="00EF4E75" w:rsidRDefault="00EF4E75">
      <w:pPr>
        <w:widowControl w:val="0"/>
        <w:spacing w:line="360" w:lineRule="auto"/>
        <w:ind w:firstLine="720"/>
        <w:jc w:val="both"/>
        <w:rPr>
          <w:rFonts w:ascii="Times New Roman" w:eastAsia="Times New Roman" w:hAnsi="Times New Roman" w:cs="Times New Roman"/>
          <w:sz w:val="24"/>
          <w:szCs w:val="24"/>
        </w:rPr>
      </w:pPr>
    </w:p>
    <w:p w14:paraId="03FEC55B" w14:textId="77777777" w:rsidR="00EF4E75" w:rsidRDefault="00000000">
      <w:pPr>
        <w:widowControl w:val="0"/>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Finalmente se recomienda que en futuras investigaciones se profundice en el análisis comparativo de los impactos del sello equipares entre diferentes sectores económicos y tamaños </w:t>
      </w:r>
      <w:proofErr w:type="gramStart"/>
      <w:r>
        <w:rPr>
          <w:rFonts w:ascii="Times New Roman" w:eastAsia="Times New Roman" w:hAnsi="Times New Roman" w:cs="Times New Roman"/>
          <w:sz w:val="24"/>
          <w:szCs w:val="24"/>
        </w:rPr>
        <w:t>empresariales;  en</w:t>
      </w:r>
      <w:proofErr w:type="gramEnd"/>
      <w:r>
        <w:rPr>
          <w:rFonts w:ascii="Times New Roman" w:eastAsia="Times New Roman" w:hAnsi="Times New Roman" w:cs="Times New Roman"/>
          <w:sz w:val="24"/>
          <w:szCs w:val="24"/>
        </w:rPr>
        <w:t xml:space="preserve"> especial las pequeñas y medianas empresas (Pymes)  que enfrentan desafíos particulares.  Asimismo se sugiere explorar la sostenibilidad de estas políticas en el </w:t>
      </w:r>
      <w:proofErr w:type="gramStart"/>
      <w:r>
        <w:rPr>
          <w:rFonts w:ascii="Times New Roman" w:eastAsia="Times New Roman" w:hAnsi="Times New Roman" w:cs="Times New Roman"/>
          <w:sz w:val="24"/>
          <w:szCs w:val="24"/>
        </w:rPr>
        <w:t>tiempo,  su</w:t>
      </w:r>
      <w:proofErr w:type="gramEnd"/>
      <w:r>
        <w:rPr>
          <w:rFonts w:ascii="Times New Roman" w:eastAsia="Times New Roman" w:hAnsi="Times New Roman" w:cs="Times New Roman"/>
          <w:sz w:val="24"/>
          <w:szCs w:val="24"/>
        </w:rPr>
        <w:t xml:space="preserve"> relación con indicadores de bienestar laboral y el papel de la cultura organizacional en la consolidación del enfoque de género. </w:t>
      </w:r>
    </w:p>
    <w:p w14:paraId="5FE5D7A6" w14:textId="77777777" w:rsidR="00EF4E75" w:rsidRDefault="00EF4E75">
      <w:pPr>
        <w:widowControl w:val="0"/>
        <w:spacing w:line="360" w:lineRule="auto"/>
        <w:jc w:val="center"/>
        <w:rPr>
          <w:rFonts w:ascii="Times New Roman" w:eastAsia="Times New Roman" w:hAnsi="Times New Roman" w:cs="Times New Roman"/>
          <w:sz w:val="24"/>
          <w:szCs w:val="24"/>
        </w:rPr>
      </w:pPr>
    </w:p>
    <w:p w14:paraId="0F8EDFDD" w14:textId="77777777" w:rsidR="00EF4E75" w:rsidRDefault="00EF4E75">
      <w:pPr>
        <w:widowControl w:val="0"/>
        <w:spacing w:line="360" w:lineRule="auto"/>
        <w:jc w:val="center"/>
        <w:rPr>
          <w:rFonts w:ascii="Times New Roman" w:eastAsia="Times New Roman" w:hAnsi="Times New Roman" w:cs="Times New Roman"/>
          <w:sz w:val="24"/>
          <w:szCs w:val="24"/>
        </w:rPr>
      </w:pPr>
    </w:p>
    <w:p w14:paraId="772ECB9E" w14:textId="77777777" w:rsidR="00EF4E75" w:rsidRDefault="00EF4E75">
      <w:pPr>
        <w:widowControl w:val="0"/>
        <w:spacing w:line="360" w:lineRule="auto"/>
        <w:jc w:val="center"/>
        <w:rPr>
          <w:rFonts w:ascii="Times New Roman" w:eastAsia="Times New Roman" w:hAnsi="Times New Roman" w:cs="Times New Roman"/>
          <w:sz w:val="24"/>
          <w:szCs w:val="24"/>
        </w:rPr>
      </w:pPr>
    </w:p>
    <w:p w14:paraId="59465E4A" w14:textId="77777777" w:rsidR="00EF4E75" w:rsidRDefault="00000000">
      <w:pPr>
        <w:widowControl w:val="0"/>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REFERENCIAS</w:t>
      </w:r>
    </w:p>
    <w:p w14:paraId="7B9C1A51" w14:textId="77777777" w:rsidR="00EF4E75" w:rsidRDefault="00000000">
      <w:pPr>
        <w:widowControl w:val="0"/>
        <w:spacing w:line="360" w:lineRule="auto"/>
        <w:ind w:left="720" w:hanging="720"/>
        <w:jc w:val="both"/>
        <w:rPr>
          <w:rFonts w:ascii="Times New Roman" w:eastAsia="Times New Roman" w:hAnsi="Times New Roman" w:cs="Times New Roman"/>
          <w:color w:val="1155CC"/>
          <w:sz w:val="24"/>
          <w:szCs w:val="24"/>
          <w:u w:val="single"/>
        </w:rPr>
      </w:pPr>
      <w:r>
        <w:rPr>
          <w:rFonts w:ascii="Times New Roman" w:eastAsia="Times New Roman" w:hAnsi="Times New Roman" w:cs="Times New Roman"/>
          <w:sz w:val="24"/>
          <w:szCs w:val="24"/>
        </w:rPr>
        <w:t xml:space="preserve">ANDI. (2019). </w:t>
      </w:r>
      <w:r>
        <w:rPr>
          <w:rFonts w:ascii="Times New Roman" w:eastAsia="Times New Roman" w:hAnsi="Times New Roman" w:cs="Times New Roman"/>
          <w:i/>
          <w:sz w:val="24"/>
          <w:szCs w:val="24"/>
        </w:rPr>
        <w:t>Equidad de género en cifras</w:t>
      </w:r>
      <w:r>
        <w:rPr>
          <w:rFonts w:ascii="Times New Roman" w:eastAsia="Times New Roman" w:hAnsi="Times New Roman" w:cs="Times New Roman"/>
          <w:sz w:val="24"/>
          <w:szCs w:val="24"/>
        </w:rPr>
        <w:t>.</w:t>
      </w:r>
      <w:hyperlink r:id="rId16">
        <w:r>
          <w:rPr>
            <w:rFonts w:ascii="Times New Roman" w:eastAsia="Times New Roman" w:hAnsi="Times New Roman" w:cs="Times New Roman"/>
            <w:sz w:val="24"/>
            <w:szCs w:val="24"/>
          </w:rPr>
          <w:t xml:space="preserve"> </w:t>
        </w:r>
      </w:hyperlink>
      <w:hyperlink r:id="rId17">
        <w:r>
          <w:rPr>
            <w:rFonts w:ascii="Times New Roman" w:eastAsia="Times New Roman" w:hAnsi="Times New Roman" w:cs="Times New Roman"/>
            <w:color w:val="1155CC"/>
            <w:sz w:val="24"/>
            <w:szCs w:val="24"/>
            <w:u w:val="single"/>
          </w:rPr>
          <w:t>https://www.andi.com.co/Home/Noticia/15915-</w:t>
        </w:r>
      </w:hyperlink>
    </w:p>
    <w:p w14:paraId="2EAA82AC" w14:textId="77777777" w:rsidR="00EF4E75" w:rsidRDefault="00000000">
      <w:pPr>
        <w:widowControl w:val="0"/>
        <w:spacing w:line="360" w:lineRule="auto"/>
        <w:ind w:left="720" w:hanging="720"/>
        <w:jc w:val="both"/>
        <w:rPr>
          <w:rFonts w:ascii="Times New Roman" w:eastAsia="Times New Roman" w:hAnsi="Times New Roman" w:cs="Times New Roman"/>
          <w:color w:val="1155CC"/>
          <w:sz w:val="24"/>
          <w:szCs w:val="24"/>
          <w:u w:val="single"/>
        </w:rPr>
      </w:pPr>
      <w:proofErr w:type="spellStart"/>
      <w:r>
        <w:rPr>
          <w:rFonts w:ascii="Times New Roman" w:eastAsia="Times New Roman" w:hAnsi="Times New Roman" w:cs="Times New Roman"/>
          <w:sz w:val="24"/>
          <w:szCs w:val="24"/>
        </w:rPr>
        <w:t>Asocajas</w:t>
      </w:r>
      <w:proofErr w:type="spellEnd"/>
      <w:r>
        <w:rPr>
          <w:rFonts w:ascii="Times New Roman" w:eastAsia="Times New Roman" w:hAnsi="Times New Roman" w:cs="Times New Roman"/>
          <w:sz w:val="24"/>
          <w:szCs w:val="24"/>
        </w:rPr>
        <w:t xml:space="preserve">. (2020). </w:t>
      </w:r>
      <w:proofErr w:type="spellStart"/>
      <w:r>
        <w:rPr>
          <w:rFonts w:ascii="Times New Roman" w:eastAsia="Times New Roman" w:hAnsi="Times New Roman" w:cs="Times New Roman"/>
          <w:i/>
          <w:sz w:val="24"/>
          <w:szCs w:val="24"/>
        </w:rPr>
        <w:t>Comfamiliar</w:t>
      </w:r>
      <w:proofErr w:type="spellEnd"/>
      <w:r>
        <w:rPr>
          <w:rFonts w:ascii="Times New Roman" w:eastAsia="Times New Roman" w:hAnsi="Times New Roman" w:cs="Times New Roman"/>
          <w:i/>
          <w:sz w:val="24"/>
          <w:szCs w:val="24"/>
        </w:rPr>
        <w:t xml:space="preserve"> Huila, pionera en igualdad y equidad de género</w:t>
      </w:r>
      <w:r>
        <w:rPr>
          <w:rFonts w:ascii="Times New Roman" w:eastAsia="Times New Roman" w:hAnsi="Times New Roman" w:cs="Times New Roman"/>
          <w:sz w:val="24"/>
          <w:szCs w:val="24"/>
        </w:rPr>
        <w:t>.</w:t>
      </w:r>
      <w:hyperlink r:id="rId18">
        <w:r>
          <w:rPr>
            <w:rFonts w:ascii="Times New Roman" w:eastAsia="Times New Roman" w:hAnsi="Times New Roman" w:cs="Times New Roman"/>
            <w:sz w:val="24"/>
            <w:szCs w:val="24"/>
          </w:rPr>
          <w:t xml:space="preserve"> </w:t>
        </w:r>
      </w:hyperlink>
      <w:hyperlink r:id="rId19">
        <w:r>
          <w:rPr>
            <w:rFonts w:ascii="Times New Roman" w:eastAsia="Times New Roman" w:hAnsi="Times New Roman" w:cs="Times New Roman"/>
            <w:color w:val="1155CC"/>
            <w:sz w:val="24"/>
            <w:szCs w:val="24"/>
            <w:u w:val="single"/>
          </w:rPr>
          <w:t>https://www.asocajas.org.co/comfamiliar-huila-pionera-en-igualdad-y-equidad-de-genero/</w:t>
        </w:r>
      </w:hyperlink>
    </w:p>
    <w:p w14:paraId="5E63D407" w14:textId="77777777" w:rsidR="00EF4E75" w:rsidRDefault="00000000">
      <w:pPr>
        <w:widowControl w:val="0"/>
        <w:spacing w:line="360" w:lineRule="auto"/>
        <w:ind w:left="72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Avella, A., </w:t>
      </w:r>
      <w:proofErr w:type="spellStart"/>
      <w:r>
        <w:rPr>
          <w:rFonts w:ascii="Times New Roman" w:eastAsia="Times New Roman" w:hAnsi="Times New Roman" w:cs="Times New Roman"/>
          <w:sz w:val="24"/>
          <w:szCs w:val="24"/>
        </w:rPr>
        <w:t>Hakspiel</w:t>
      </w:r>
      <w:proofErr w:type="spellEnd"/>
      <w:r>
        <w:rPr>
          <w:rFonts w:ascii="Times New Roman" w:eastAsia="Times New Roman" w:hAnsi="Times New Roman" w:cs="Times New Roman"/>
          <w:sz w:val="24"/>
          <w:szCs w:val="24"/>
        </w:rPr>
        <w:t xml:space="preserve">, J., &amp; Villanueva, M. (2024). </w:t>
      </w:r>
      <w:r>
        <w:rPr>
          <w:rFonts w:ascii="Times New Roman" w:eastAsia="Times New Roman" w:hAnsi="Times New Roman" w:cs="Times New Roman"/>
          <w:i/>
          <w:sz w:val="24"/>
          <w:szCs w:val="24"/>
        </w:rPr>
        <w:t>Guía para promover la igualdad de género en las empresas de América Latina y el Caribe</w:t>
      </w:r>
      <w:r>
        <w:rPr>
          <w:rFonts w:ascii="Times New Roman" w:eastAsia="Times New Roman" w:hAnsi="Times New Roman" w:cs="Times New Roman"/>
          <w:sz w:val="24"/>
          <w:szCs w:val="24"/>
        </w:rPr>
        <w:t>. Banco Interamericano de Desarrollo (BID).</w:t>
      </w:r>
    </w:p>
    <w:p w14:paraId="36C9FEB0" w14:textId="77777777" w:rsidR="00EF4E75" w:rsidRDefault="00000000">
      <w:pPr>
        <w:widowControl w:val="0"/>
        <w:spacing w:line="360" w:lineRule="auto"/>
        <w:ind w:left="720" w:hanging="720"/>
        <w:jc w:val="both"/>
        <w:rPr>
          <w:rFonts w:ascii="Times New Roman" w:eastAsia="Times New Roman" w:hAnsi="Times New Roman" w:cs="Times New Roman"/>
          <w:color w:val="1155CC"/>
          <w:sz w:val="24"/>
          <w:szCs w:val="24"/>
          <w:u w:val="single"/>
        </w:rPr>
      </w:pPr>
      <w:r>
        <w:rPr>
          <w:rFonts w:ascii="Times New Roman" w:eastAsia="Times New Roman" w:hAnsi="Times New Roman" w:cs="Times New Roman"/>
          <w:sz w:val="24"/>
          <w:szCs w:val="24"/>
        </w:rPr>
        <w:t xml:space="preserve">Cámara de Comercio de Medellín. (2023). </w:t>
      </w:r>
      <w:r>
        <w:rPr>
          <w:rFonts w:ascii="Times New Roman" w:eastAsia="Times New Roman" w:hAnsi="Times New Roman" w:cs="Times New Roman"/>
          <w:i/>
          <w:sz w:val="24"/>
          <w:szCs w:val="24"/>
        </w:rPr>
        <w:t>¿Qué es la Responsabilidad Social Empresarial (RSE)?</w:t>
      </w:r>
      <w:hyperlink r:id="rId20">
        <w:r>
          <w:rPr>
            <w:rFonts w:ascii="Times New Roman" w:eastAsia="Times New Roman" w:hAnsi="Times New Roman" w:cs="Times New Roman"/>
            <w:sz w:val="24"/>
            <w:szCs w:val="24"/>
          </w:rPr>
          <w:t xml:space="preserve"> </w:t>
        </w:r>
      </w:hyperlink>
      <w:hyperlink r:id="rId21">
        <w:r>
          <w:rPr>
            <w:rFonts w:ascii="Times New Roman" w:eastAsia="Times New Roman" w:hAnsi="Times New Roman" w:cs="Times New Roman"/>
            <w:color w:val="1155CC"/>
            <w:sz w:val="24"/>
            <w:szCs w:val="24"/>
            <w:u w:val="single"/>
          </w:rPr>
          <w:t>http://herramientas.camaramedellin.com.co/Inicio/Buenaspracticasempresariales/BibliotecaGerenciaEstrategica/QueeslaResponsabilidadSocialEmpresarial.aspx</w:t>
        </w:r>
      </w:hyperlink>
    </w:p>
    <w:p w14:paraId="7E3C8039" w14:textId="77777777" w:rsidR="00EF4E75" w:rsidRDefault="00000000">
      <w:pPr>
        <w:widowControl w:val="0"/>
        <w:spacing w:line="360" w:lineRule="auto"/>
        <w:ind w:left="720" w:hanging="720"/>
        <w:jc w:val="both"/>
        <w:rPr>
          <w:rFonts w:ascii="Times New Roman" w:eastAsia="Times New Roman" w:hAnsi="Times New Roman" w:cs="Times New Roman"/>
          <w:color w:val="1155CC"/>
          <w:sz w:val="24"/>
          <w:szCs w:val="24"/>
          <w:u w:val="single"/>
        </w:rPr>
      </w:pPr>
      <w:r w:rsidRPr="00B34D9C">
        <w:rPr>
          <w:rFonts w:ascii="Times New Roman" w:eastAsia="Times New Roman" w:hAnsi="Times New Roman" w:cs="Times New Roman"/>
          <w:sz w:val="24"/>
          <w:szCs w:val="24"/>
          <w:lang w:val="en-US"/>
        </w:rPr>
        <w:t xml:space="preserve">Carroll, A. B. (1991). The pyramid of corporate social responsibility: Toward the moral management of organizational stakeholders. </w:t>
      </w:r>
      <w:r>
        <w:rPr>
          <w:rFonts w:ascii="Times New Roman" w:eastAsia="Times New Roman" w:hAnsi="Times New Roman" w:cs="Times New Roman"/>
          <w:i/>
          <w:sz w:val="24"/>
          <w:szCs w:val="24"/>
        </w:rPr>
        <w:t xml:space="preserve">Business </w:t>
      </w:r>
      <w:proofErr w:type="spellStart"/>
      <w:r>
        <w:rPr>
          <w:rFonts w:ascii="Times New Roman" w:eastAsia="Times New Roman" w:hAnsi="Times New Roman" w:cs="Times New Roman"/>
          <w:i/>
          <w:sz w:val="24"/>
          <w:szCs w:val="24"/>
        </w:rPr>
        <w:t>Horizons</w:t>
      </w:r>
      <w:proofErr w:type="spellEnd"/>
      <w:r>
        <w:rPr>
          <w:rFonts w:ascii="Times New Roman" w:eastAsia="Times New Roman" w:hAnsi="Times New Roman" w:cs="Times New Roman"/>
          <w:i/>
          <w:sz w:val="24"/>
          <w:szCs w:val="24"/>
        </w:rPr>
        <w:t>, 34</w:t>
      </w:r>
      <w:r>
        <w:rPr>
          <w:rFonts w:ascii="Times New Roman" w:eastAsia="Times New Roman" w:hAnsi="Times New Roman" w:cs="Times New Roman"/>
          <w:sz w:val="24"/>
          <w:szCs w:val="24"/>
        </w:rPr>
        <w:t>(4), 39-48.</w:t>
      </w:r>
      <w:hyperlink r:id="rId22">
        <w:r>
          <w:rPr>
            <w:rFonts w:ascii="Times New Roman" w:eastAsia="Times New Roman" w:hAnsi="Times New Roman" w:cs="Times New Roman"/>
            <w:sz w:val="24"/>
            <w:szCs w:val="24"/>
          </w:rPr>
          <w:t xml:space="preserve"> </w:t>
        </w:r>
      </w:hyperlink>
      <w:hyperlink r:id="rId23">
        <w:r>
          <w:rPr>
            <w:rFonts w:ascii="Times New Roman" w:eastAsia="Times New Roman" w:hAnsi="Times New Roman" w:cs="Times New Roman"/>
            <w:color w:val="1155CC"/>
            <w:sz w:val="24"/>
            <w:szCs w:val="24"/>
            <w:u w:val="single"/>
          </w:rPr>
          <w:t>https://doi.org/10.1016/0007-6813(91)90005-G</w:t>
        </w:r>
      </w:hyperlink>
    </w:p>
    <w:p w14:paraId="72100630" w14:textId="77777777" w:rsidR="00EF4E75" w:rsidRDefault="00000000">
      <w:pPr>
        <w:widowControl w:val="0"/>
        <w:spacing w:line="360" w:lineRule="auto"/>
        <w:ind w:left="720" w:hanging="720"/>
        <w:jc w:val="both"/>
        <w:rPr>
          <w:rFonts w:ascii="Times New Roman" w:eastAsia="Times New Roman" w:hAnsi="Times New Roman" w:cs="Times New Roman"/>
          <w:color w:val="1155CC"/>
          <w:sz w:val="24"/>
          <w:szCs w:val="24"/>
          <w:u w:val="single"/>
        </w:rPr>
      </w:pPr>
      <w:r>
        <w:rPr>
          <w:rFonts w:ascii="Times New Roman" w:eastAsia="Times New Roman" w:hAnsi="Times New Roman" w:cs="Times New Roman"/>
          <w:sz w:val="24"/>
          <w:szCs w:val="24"/>
        </w:rPr>
        <w:t xml:space="preserve">Corte constitucional (2017) Sentencia C-115 de 2017 Discriminación positiva. </w:t>
      </w:r>
      <w:hyperlink r:id="rId24">
        <w:r>
          <w:rPr>
            <w:rFonts w:ascii="Times New Roman" w:eastAsia="Times New Roman" w:hAnsi="Times New Roman" w:cs="Times New Roman"/>
            <w:color w:val="1155CC"/>
            <w:sz w:val="24"/>
            <w:szCs w:val="24"/>
            <w:u w:val="single"/>
          </w:rPr>
          <w:t>https://www.corteconstitucional.gov.co/relatoria/2017/C-115-17.htm</w:t>
        </w:r>
      </w:hyperlink>
      <w:r>
        <w:rPr>
          <w:rFonts w:ascii="Times New Roman" w:eastAsia="Times New Roman" w:hAnsi="Times New Roman" w:cs="Times New Roman"/>
          <w:sz w:val="24"/>
          <w:szCs w:val="24"/>
        </w:rPr>
        <w:t xml:space="preserve"> </w:t>
      </w:r>
    </w:p>
    <w:p w14:paraId="6BCA4676" w14:textId="77777777" w:rsidR="00EF4E75" w:rsidRDefault="00000000">
      <w:pPr>
        <w:widowControl w:val="0"/>
        <w:spacing w:line="360" w:lineRule="auto"/>
        <w:ind w:left="72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 Beauvoir, S. (1949). </w:t>
      </w:r>
      <w:r>
        <w:rPr>
          <w:rFonts w:ascii="Times New Roman" w:eastAsia="Times New Roman" w:hAnsi="Times New Roman" w:cs="Times New Roman"/>
          <w:i/>
          <w:sz w:val="24"/>
          <w:szCs w:val="24"/>
        </w:rPr>
        <w:t>El segundo sexo</w:t>
      </w:r>
      <w:r>
        <w:rPr>
          <w:rFonts w:ascii="Times New Roman" w:eastAsia="Times New Roman" w:hAnsi="Times New Roman" w:cs="Times New Roman"/>
          <w:sz w:val="24"/>
          <w:szCs w:val="24"/>
        </w:rPr>
        <w:t xml:space="preserve"> (M. G. B. Ortiz, Trad.). Ediciones Cátedra. (Obra </w:t>
      </w:r>
      <w:r>
        <w:rPr>
          <w:rFonts w:ascii="Times New Roman" w:eastAsia="Times New Roman" w:hAnsi="Times New Roman" w:cs="Times New Roman"/>
          <w:sz w:val="24"/>
          <w:szCs w:val="24"/>
        </w:rPr>
        <w:lastRenderedPageBreak/>
        <w:t>original publicada en 1949)</w:t>
      </w:r>
    </w:p>
    <w:p w14:paraId="49FE13C7" w14:textId="77777777" w:rsidR="00EF4E75" w:rsidRDefault="00000000">
      <w:pPr>
        <w:widowControl w:val="0"/>
        <w:spacing w:line="360" w:lineRule="auto"/>
        <w:ind w:left="720" w:hanging="720"/>
        <w:jc w:val="both"/>
        <w:rPr>
          <w:rFonts w:ascii="Times New Roman" w:eastAsia="Times New Roman" w:hAnsi="Times New Roman" w:cs="Times New Roman"/>
          <w:color w:val="1155CC"/>
          <w:sz w:val="24"/>
          <w:szCs w:val="24"/>
          <w:u w:val="single"/>
        </w:rPr>
      </w:pPr>
      <w:r>
        <w:rPr>
          <w:rFonts w:ascii="Times New Roman" w:eastAsia="Times New Roman" w:hAnsi="Times New Roman" w:cs="Times New Roman"/>
          <w:sz w:val="24"/>
          <w:szCs w:val="24"/>
        </w:rPr>
        <w:t xml:space="preserve">Decreto 410 de 1971. (1971, 27 de marzo). Presidencia de la República. </w:t>
      </w:r>
      <w:r>
        <w:rPr>
          <w:rFonts w:ascii="Times New Roman" w:eastAsia="Times New Roman" w:hAnsi="Times New Roman" w:cs="Times New Roman"/>
          <w:i/>
          <w:sz w:val="24"/>
          <w:szCs w:val="24"/>
        </w:rPr>
        <w:t>Diario Oficial</w:t>
      </w:r>
      <w:r>
        <w:rPr>
          <w:rFonts w:ascii="Times New Roman" w:eastAsia="Times New Roman" w:hAnsi="Times New Roman" w:cs="Times New Roman"/>
          <w:sz w:val="24"/>
          <w:szCs w:val="24"/>
        </w:rPr>
        <w:t xml:space="preserve"> 33.339.</w:t>
      </w:r>
      <w:hyperlink r:id="rId25">
        <w:r>
          <w:rPr>
            <w:rFonts w:ascii="Times New Roman" w:eastAsia="Times New Roman" w:hAnsi="Times New Roman" w:cs="Times New Roman"/>
            <w:sz w:val="24"/>
            <w:szCs w:val="24"/>
          </w:rPr>
          <w:t xml:space="preserve"> </w:t>
        </w:r>
      </w:hyperlink>
      <w:hyperlink r:id="rId26">
        <w:r>
          <w:rPr>
            <w:rFonts w:ascii="Times New Roman" w:eastAsia="Times New Roman" w:hAnsi="Times New Roman" w:cs="Times New Roman"/>
            <w:color w:val="1155CC"/>
            <w:sz w:val="24"/>
            <w:szCs w:val="24"/>
            <w:u w:val="single"/>
          </w:rPr>
          <w:t>https://www.funcionpublica.gov.co/eva/gestornormativo/norma.php?i=41102</w:t>
        </w:r>
      </w:hyperlink>
    </w:p>
    <w:p w14:paraId="33499D53" w14:textId="77777777" w:rsidR="00EF4E75" w:rsidRPr="00B34D9C" w:rsidRDefault="00000000">
      <w:pPr>
        <w:widowControl w:val="0"/>
        <w:spacing w:line="360" w:lineRule="auto"/>
        <w:ind w:left="720" w:hanging="720"/>
        <w:jc w:val="both"/>
        <w:rPr>
          <w:rFonts w:ascii="Times New Roman" w:eastAsia="Times New Roman" w:hAnsi="Times New Roman" w:cs="Times New Roman"/>
          <w:sz w:val="24"/>
          <w:szCs w:val="24"/>
          <w:lang w:val="en-US"/>
        </w:rPr>
      </w:pPr>
      <w:r w:rsidRPr="00B34D9C">
        <w:rPr>
          <w:rFonts w:ascii="Times New Roman" w:eastAsia="Times New Roman" w:hAnsi="Times New Roman" w:cs="Times New Roman"/>
          <w:sz w:val="24"/>
          <w:szCs w:val="24"/>
          <w:lang w:val="en-US"/>
        </w:rPr>
        <w:t xml:space="preserve">Drucker, P. F. (1954). </w:t>
      </w:r>
      <w:r w:rsidRPr="00B34D9C">
        <w:rPr>
          <w:rFonts w:ascii="Times New Roman" w:eastAsia="Times New Roman" w:hAnsi="Times New Roman" w:cs="Times New Roman"/>
          <w:i/>
          <w:sz w:val="24"/>
          <w:szCs w:val="24"/>
          <w:lang w:val="en-US"/>
        </w:rPr>
        <w:t>The practice of management</w:t>
      </w:r>
      <w:r w:rsidRPr="00B34D9C">
        <w:rPr>
          <w:rFonts w:ascii="Times New Roman" w:eastAsia="Times New Roman" w:hAnsi="Times New Roman" w:cs="Times New Roman"/>
          <w:sz w:val="24"/>
          <w:szCs w:val="24"/>
          <w:lang w:val="en-US"/>
        </w:rPr>
        <w:t>. Harper &amp; Row.</w:t>
      </w:r>
    </w:p>
    <w:p w14:paraId="2A253F70" w14:textId="77777777" w:rsidR="00EF4E75" w:rsidRPr="00B34D9C" w:rsidRDefault="00000000">
      <w:pPr>
        <w:widowControl w:val="0"/>
        <w:spacing w:line="360" w:lineRule="auto"/>
        <w:ind w:left="720" w:hanging="720"/>
        <w:jc w:val="both"/>
        <w:rPr>
          <w:rFonts w:ascii="Times New Roman" w:eastAsia="Times New Roman" w:hAnsi="Times New Roman" w:cs="Times New Roman"/>
          <w:sz w:val="24"/>
          <w:szCs w:val="24"/>
          <w:lang w:val="en-US"/>
        </w:rPr>
      </w:pPr>
      <w:r w:rsidRPr="00B34D9C">
        <w:rPr>
          <w:rFonts w:ascii="Times New Roman" w:eastAsia="Times New Roman" w:hAnsi="Times New Roman" w:cs="Times New Roman"/>
          <w:sz w:val="24"/>
          <w:szCs w:val="24"/>
          <w:lang w:val="en-US"/>
        </w:rPr>
        <w:t xml:space="preserve">Elkington, J. (1997). </w:t>
      </w:r>
      <w:r w:rsidRPr="00B34D9C">
        <w:rPr>
          <w:rFonts w:ascii="Times New Roman" w:eastAsia="Times New Roman" w:hAnsi="Times New Roman" w:cs="Times New Roman"/>
          <w:i/>
          <w:sz w:val="24"/>
          <w:szCs w:val="24"/>
          <w:lang w:val="en-US"/>
        </w:rPr>
        <w:t>Cannibals with forks: The triple bottom line of 21st century business</w:t>
      </w:r>
      <w:r w:rsidRPr="00B34D9C">
        <w:rPr>
          <w:rFonts w:ascii="Times New Roman" w:eastAsia="Times New Roman" w:hAnsi="Times New Roman" w:cs="Times New Roman"/>
          <w:sz w:val="24"/>
          <w:szCs w:val="24"/>
          <w:lang w:val="en-US"/>
        </w:rPr>
        <w:t>. Capstone Publishing.</w:t>
      </w:r>
    </w:p>
    <w:p w14:paraId="71FF6DB2" w14:textId="77777777" w:rsidR="00EF4E75" w:rsidRPr="00B34D9C" w:rsidRDefault="00000000">
      <w:pPr>
        <w:widowControl w:val="0"/>
        <w:spacing w:line="360" w:lineRule="auto"/>
        <w:ind w:left="720" w:hanging="720"/>
        <w:jc w:val="both"/>
        <w:rPr>
          <w:rFonts w:ascii="Times New Roman" w:eastAsia="Times New Roman" w:hAnsi="Times New Roman" w:cs="Times New Roman"/>
          <w:sz w:val="24"/>
          <w:szCs w:val="24"/>
          <w:lang w:val="en-US"/>
        </w:rPr>
      </w:pPr>
      <w:r w:rsidRPr="00B34D9C">
        <w:rPr>
          <w:rFonts w:ascii="Times New Roman" w:eastAsia="Times New Roman" w:hAnsi="Times New Roman" w:cs="Times New Roman"/>
          <w:sz w:val="24"/>
          <w:szCs w:val="24"/>
          <w:lang w:val="en-US"/>
        </w:rPr>
        <w:t xml:space="preserve">Engels, F. (1884). </w:t>
      </w:r>
      <w:r w:rsidRPr="00B34D9C">
        <w:rPr>
          <w:rFonts w:ascii="Times New Roman" w:eastAsia="Times New Roman" w:hAnsi="Times New Roman" w:cs="Times New Roman"/>
          <w:i/>
          <w:sz w:val="24"/>
          <w:szCs w:val="24"/>
          <w:lang w:val="en-US"/>
        </w:rPr>
        <w:t>The origin of the family, private property, and the state</w:t>
      </w:r>
      <w:r w:rsidRPr="00B34D9C">
        <w:rPr>
          <w:rFonts w:ascii="Times New Roman" w:eastAsia="Times New Roman" w:hAnsi="Times New Roman" w:cs="Times New Roman"/>
          <w:sz w:val="24"/>
          <w:szCs w:val="24"/>
          <w:lang w:val="en-US"/>
        </w:rPr>
        <w:t>.</w:t>
      </w:r>
    </w:p>
    <w:p w14:paraId="6F2046D6" w14:textId="77777777" w:rsidR="00EF4E75" w:rsidRDefault="00000000">
      <w:pPr>
        <w:widowControl w:val="0"/>
        <w:spacing w:line="360" w:lineRule="auto"/>
        <w:ind w:left="720" w:hanging="720"/>
        <w:jc w:val="both"/>
        <w:rPr>
          <w:rFonts w:ascii="Times New Roman" w:eastAsia="Times New Roman" w:hAnsi="Times New Roman" w:cs="Times New Roman"/>
          <w:color w:val="1155CC"/>
          <w:sz w:val="24"/>
          <w:szCs w:val="24"/>
          <w:u w:val="single"/>
        </w:rPr>
      </w:pPr>
      <w:r>
        <w:rPr>
          <w:rFonts w:ascii="Times New Roman" w:eastAsia="Times New Roman" w:hAnsi="Times New Roman" w:cs="Times New Roman"/>
          <w:sz w:val="24"/>
          <w:szCs w:val="24"/>
        </w:rPr>
        <w:t xml:space="preserve">FORBES. (2020). </w:t>
      </w:r>
      <w:r>
        <w:rPr>
          <w:rFonts w:ascii="Times New Roman" w:eastAsia="Times New Roman" w:hAnsi="Times New Roman" w:cs="Times New Roman"/>
          <w:i/>
          <w:sz w:val="24"/>
          <w:szCs w:val="24"/>
        </w:rPr>
        <w:t>Sanofi apuesta a la equidad de género</w:t>
      </w:r>
      <w:r>
        <w:rPr>
          <w:rFonts w:ascii="Times New Roman" w:eastAsia="Times New Roman" w:hAnsi="Times New Roman" w:cs="Times New Roman"/>
          <w:sz w:val="24"/>
          <w:szCs w:val="24"/>
        </w:rPr>
        <w:t>.</w:t>
      </w:r>
      <w:hyperlink r:id="rId27">
        <w:r>
          <w:rPr>
            <w:rFonts w:ascii="Times New Roman" w:eastAsia="Times New Roman" w:hAnsi="Times New Roman" w:cs="Times New Roman"/>
            <w:sz w:val="24"/>
            <w:szCs w:val="24"/>
          </w:rPr>
          <w:t xml:space="preserve"> </w:t>
        </w:r>
      </w:hyperlink>
      <w:hyperlink r:id="rId28">
        <w:r>
          <w:rPr>
            <w:rFonts w:ascii="Times New Roman" w:eastAsia="Times New Roman" w:hAnsi="Times New Roman" w:cs="Times New Roman"/>
            <w:color w:val="1155CC"/>
            <w:sz w:val="24"/>
            <w:szCs w:val="24"/>
            <w:u w:val="single"/>
          </w:rPr>
          <w:t>https://forbescentroamerica.com/2020/09/15/sanofi-apuesta-a-la-equidad-de-genero</w:t>
        </w:r>
      </w:hyperlink>
    </w:p>
    <w:p w14:paraId="444A85A4" w14:textId="77777777" w:rsidR="00EF4E75" w:rsidRDefault="00000000">
      <w:pPr>
        <w:widowControl w:val="0"/>
        <w:spacing w:line="360" w:lineRule="auto"/>
        <w:ind w:left="720" w:hanging="720"/>
        <w:jc w:val="both"/>
        <w:rPr>
          <w:rFonts w:ascii="Times New Roman" w:eastAsia="Times New Roman" w:hAnsi="Times New Roman" w:cs="Times New Roman"/>
          <w:color w:val="1155CC"/>
          <w:sz w:val="24"/>
          <w:szCs w:val="24"/>
          <w:u w:val="single"/>
        </w:rPr>
      </w:pPr>
      <w:r>
        <w:rPr>
          <w:rFonts w:ascii="Times New Roman" w:eastAsia="Times New Roman" w:hAnsi="Times New Roman" w:cs="Times New Roman"/>
          <w:sz w:val="24"/>
          <w:szCs w:val="24"/>
        </w:rPr>
        <w:t xml:space="preserve">FORBES. (2023). </w:t>
      </w:r>
      <w:r>
        <w:rPr>
          <w:rFonts w:ascii="Times New Roman" w:eastAsia="Times New Roman" w:hAnsi="Times New Roman" w:cs="Times New Roman"/>
          <w:i/>
          <w:sz w:val="24"/>
          <w:szCs w:val="24"/>
        </w:rPr>
        <w:t>Listado: 12 empresas que en Colombia son líderes en diversidad, equidad e inclusión</w:t>
      </w:r>
      <w:r>
        <w:rPr>
          <w:rFonts w:ascii="Times New Roman" w:eastAsia="Times New Roman" w:hAnsi="Times New Roman" w:cs="Times New Roman"/>
          <w:sz w:val="24"/>
          <w:szCs w:val="24"/>
        </w:rPr>
        <w:t>.</w:t>
      </w:r>
      <w:hyperlink r:id="rId29">
        <w:r>
          <w:rPr>
            <w:rFonts w:ascii="Times New Roman" w:eastAsia="Times New Roman" w:hAnsi="Times New Roman" w:cs="Times New Roman"/>
            <w:sz w:val="24"/>
            <w:szCs w:val="24"/>
          </w:rPr>
          <w:t xml:space="preserve"> </w:t>
        </w:r>
      </w:hyperlink>
      <w:hyperlink r:id="rId30">
        <w:r>
          <w:rPr>
            <w:rFonts w:ascii="Times New Roman" w:eastAsia="Times New Roman" w:hAnsi="Times New Roman" w:cs="Times New Roman"/>
            <w:color w:val="1155CC"/>
            <w:sz w:val="24"/>
            <w:szCs w:val="24"/>
            <w:u w:val="single"/>
          </w:rPr>
          <w:t>https://forbes.co/2023/06/21/diversidad-equidad-e-inclusion/listado-las-12-empresas-que-son-lideres-en-diversidad-equidad-e-inclusion-en-colombia</w:t>
        </w:r>
      </w:hyperlink>
    </w:p>
    <w:p w14:paraId="79F5AED4" w14:textId="77777777" w:rsidR="00EF4E75" w:rsidRPr="00B34D9C" w:rsidRDefault="00000000">
      <w:pPr>
        <w:widowControl w:val="0"/>
        <w:spacing w:line="360" w:lineRule="auto"/>
        <w:ind w:left="720" w:hanging="720"/>
        <w:jc w:val="both"/>
        <w:rPr>
          <w:rFonts w:ascii="Times New Roman" w:eastAsia="Times New Roman" w:hAnsi="Times New Roman" w:cs="Times New Roman"/>
          <w:sz w:val="24"/>
          <w:szCs w:val="24"/>
          <w:lang w:val="en-US"/>
        </w:rPr>
      </w:pPr>
      <w:r w:rsidRPr="00B34D9C">
        <w:rPr>
          <w:rFonts w:ascii="Times New Roman" w:eastAsia="Times New Roman" w:hAnsi="Times New Roman" w:cs="Times New Roman"/>
          <w:sz w:val="24"/>
          <w:szCs w:val="24"/>
          <w:lang w:val="en-US"/>
        </w:rPr>
        <w:t xml:space="preserve">Freeman, E. R. (1984). </w:t>
      </w:r>
      <w:r w:rsidRPr="00B34D9C">
        <w:rPr>
          <w:rFonts w:ascii="Times New Roman" w:eastAsia="Times New Roman" w:hAnsi="Times New Roman" w:cs="Times New Roman"/>
          <w:i/>
          <w:sz w:val="24"/>
          <w:szCs w:val="24"/>
          <w:lang w:val="en-US"/>
        </w:rPr>
        <w:t>Strategic management: A stakeholder approach</w:t>
      </w:r>
      <w:r w:rsidRPr="00B34D9C">
        <w:rPr>
          <w:rFonts w:ascii="Times New Roman" w:eastAsia="Times New Roman" w:hAnsi="Times New Roman" w:cs="Times New Roman"/>
          <w:sz w:val="24"/>
          <w:szCs w:val="24"/>
          <w:lang w:val="en-US"/>
        </w:rPr>
        <w:t>. Pitman Publishing.</w:t>
      </w:r>
    </w:p>
    <w:p w14:paraId="6140FB71" w14:textId="77777777" w:rsidR="00EF4E75" w:rsidRDefault="00000000">
      <w:pPr>
        <w:widowControl w:val="0"/>
        <w:spacing w:line="360" w:lineRule="auto"/>
        <w:ind w:left="720" w:hanging="720"/>
        <w:jc w:val="both"/>
        <w:rPr>
          <w:rFonts w:ascii="Times New Roman" w:eastAsia="Times New Roman" w:hAnsi="Times New Roman" w:cs="Times New Roman"/>
          <w:color w:val="1155CC"/>
          <w:sz w:val="24"/>
          <w:szCs w:val="24"/>
          <w:u w:val="single"/>
        </w:rPr>
      </w:pPr>
      <w:r w:rsidRPr="00B34D9C">
        <w:rPr>
          <w:rFonts w:ascii="Times New Roman" w:eastAsia="Times New Roman" w:hAnsi="Times New Roman" w:cs="Times New Roman"/>
          <w:sz w:val="24"/>
          <w:szCs w:val="24"/>
          <w:lang w:val="en-US"/>
        </w:rPr>
        <w:t xml:space="preserve">Friedman, M. (1970, September 13). The social responsibility of business is to increase its profits. </w:t>
      </w:r>
      <w:proofErr w:type="spellStart"/>
      <w:r>
        <w:rPr>
          <w:rFonts w:ascii="Times New Roman" w:eastAsia="Times New Roman" w:hAnsi="Times New Roman" w:cs="Times New Roman"/>
          <w:i/>
          <w:sz w:val="24"/>
          <w:szCs w:val="24"/>
        </w:rPr>
        <w:t>The</w:t>
      </w:r>
      <w:proofErr w:type="spellEnd"/>
      <w:r>
        <w:rPr>
          <w:rFonts w:ascii="Times New Roman" w:eastAsia="Times New Roman" w:hAnsi="Times New Roman" w:cs="Times New Roman"/>
          <w:i/>
          <w:sz w:val="24"/>
          <w:szCs w:val="24"/>
        </w:rPr>
        <w:t xml:space="preserve"> New York Times Magazine</w:t>
      </w:r>
      <w:r>
        <w:rPr>
          <w:rFonts w:ascii="Times New Roman" w:eastAsia="Times New Roman" w:hAnsi="Times New Roman" w:cs="Times New Roman"/>
          <w:sz w:val="24"/>
          <w:szCs w:val="24"/>
        </w:rPr>
        <w:t>.</w:t>
      </w:r>
      <w:hyperlink r:id="rId31">
        <w:r>
          <w:rPr>
            <w:rFonts w:ascii="Times New Roman" w:eastAsia="Times New Roman" w:hAnsi="Times New Roman" w:cs="Times New Roman"/>
            <w:sz w:val="24"/>
            <w:szCs w:val="24"/>
          </w:rPr>
          <w:t xml:space="preserve"> </w:t>
        </w:r>
      </w:hyperlink>
      <w:hyperlink r:id="rId32">
        <w:r>
          <w:rPr>
            <w:rFonts w:ascii="Times New Roman" w:eastAsia="Times New Roman" w:hAnsi="Times New Roman" w:cs="Times New Roman"/>
            <w:color w:val="1155CC"/>
            <w:sz w:val="24"/>
            <w:szCs w:val="24"/>
            <w:u w:val="single"/>
          </w:rPr>
          <w:t>https://www.nytimes.com/1970/09/13/archives/the-social-responsibility-of-business-is-to-increase-its-profits.html</w:t>
        </w:r>
      </w:hyperlink>
    </w:p>
    <w:p w14:paraId="14FB04C8" w14:textId="77777777" w:rsidR="00EF4E75" w:rsidRDefault="00000000">
      <w:pPr>
        <w:widowControl w:val="0"/>
        <w:spacing w:line="360" w:lineRule="auto"/>
        <w:ind w:left="720" w:hanging="720"/>
        <w:jc w:val="both"/>
        <w:rPr>
          <w:rFonts w:ascii="Times New Roman" w:eastAsia="Times New Roman" w:hAnsi="Times New Roman" w:cs="Times New Roman"/>
          <w:sz w:val="24"/>
          <w:szCs w:val="24"/>
        </w:rPr>
      </w:pPr>
      <w:r w:rsidRPr="00B34D9C">
        <w:rPr>
          <w:rFonts w:ascii="Times New Roman" w:eastAsia="Times New Roman" w:hAnsi="Times New Roman" w:cs="Times New Roman"/>
          <w:sz w:val="24"/>
          <w:szCs w:val="24"/>
          <w:lang w:val="en-US"/>
        </w:rPr>
        <w:t xml:space="preserve">Hobbes, T. (1651/1996). </w:t>
      </w:r>
      <w:r w:rsidRPr="00B34D9C">
        <w:rPr>
          <w:rFonts w:ascii="Times New Roman" w:eastAsia="Times New Roman" w:hAnsi="Times New Roman" w:cs="Times New Roman"/>
          <w:i/>
          <w:sz w:val="24"/>
          <w:szCs w:val="24"/>
          <w:lang w:val="en-US"/>
        </w:rPr>
        <w:t>Leviathan</w:t>
      </w:r>
      <w:r w:rsidRPr="00B34D9C">
        <w:rPr>
          <w:rFonts w:ascii="Times New Roman" w:eastAsia="Times New Roman" w:hAnsi="Times New Roman" w:cs="Times New Roman"/>
          <w:sz w:val="24"/>
          <w:szCs w:val="24"/>
          <w:lang w:val="en-US"/>
        </w:rPr>
        <w:t xml:space="preserve"> (R. Tuck, Ed.). </w:t>
      </w:r>
      <w:r>
        <w:rPr>
          <w:rFonts w:ascii="Times New Roman" w:eastAsia="Times New Roman" w:hAnsi="Times New Roman" w:cs="Times New Roman"/>
          <w:sz w:val="24"/>
          <w:szCs w:val="24"/>
        </w:rPr>
        <w:t xml:space="preserve">Cambridge </w:t>
      </w:r>
      <w:proofErr w:type="spellStart"/>
      <w:r>
        <w:rPr>
          <w:rFonts w:ascii="Times New Roman" w:eastAsia="Times New Roman" w:hAnsi="Times New Roman" w:cs="Times New Roman"/>
          <w:sz w:val="24"/>
          <w:szCs w:val="24"/>
        </w:rPr>
        <w:t>University</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Press</w:t>
      </w:r>
      <w:proofErr w:type="spellEnd"/>
      <w:r>
        <w:rPr>
          <w:rFonts w:ascii="Times New Roman" w:eastAsia="Times New Roman" w:hAnsi="Times New Roman" w:cs="Times New Roman"/>
          <w:sz w:val="24"/>
          <w:szCs w:val="24"/>
        </w:rPr>
        <w:t>.</w:t>
      </w:r>
    </w:p>
    <w:p w14:paraId="7CF32141" w14:textId="77777777" w:rsidR="00EF4E75" w:rsidRDefault="00000000">
      <w:pPr>
        <w:widowControl w:val="0"/>
        <w:spacing w:line="360" w:lineRule="auto"/>
        <w:ind w:left="720" w:hanging="720"/>
        <w:jc w:val="both"/>
        <w:rPr>
          <w:rFonts w:ascii="Times New Roman" w:eastAsia="Times New Roman" w:hAnsi="Times New Roman" w:cs="Times New Roman"/>
          <w:color w:val="1155CC"/>
          <w:sz w:val="24"/>
          <w:szCs w:val="24"/>
          <w:u w:val="single"/>
        </w:rPr>
      </w:pPr>
      <w:r>
        <w:rPr>
          <w:rFonts w:ascii="Times New Roman" w:eastAsia="Times New Roman" w:hAnsi="Times New Roman" w:cs="Times New Roman"/>
          <w:sz w:val="24"/>
          <w:szCs w:val="24"/>
        </w:rPr>
        <w:t xml:space="preserve">INFOBAE. (2024). </w:t>
      </w:r>
      <w:r>
        <w:rPr>
          <w:rFonts w:ascii="Times New Roman" w:eastAsia="Times New Roman" w:hAnsi="Times New Roman" w:cs="Times New Roman"/>
          <w:i/>
          <w:sz w:val="24"/>
          <w:szCs w:val="24"/>
        </w:rPr>
        <w:t>El papel fundamental de las mujeres en la transformación del panorama empresarial</w:t>
      </w:r>
      <w:r>
        <w:rPr>
          <w:rFonts w:ascii="Times New Roman" w:eastAsia="Times New Roman" w:hAnsi="Times New Roman" w:cs="Times New Roman"/>
          <w:sz w:val="24"/>
          <w:szCs w:val="24"/>
        </w:rPr>
        <w:t>.</w:t>
      </w:r>
      <w:hyperlink r:id="rId33">
        <w:r>
          <w:rPr>
            <w:rFonts w:ascii="Times New Roman" w:eastAsia="Times New Roman" w:hAnsi="Times New Roman" w:cs="Times New Roman"/>
            <w:sz w:val="24"/>
            <w:szCs w:val="24"/>
          </w:rPr>
          <w:t xml:space="preserve"> </w:t>
        </w:r>
      </w:hyperlink>
      <w:hyperlink r:id="rId34">
        <w:r>
          <w:rPr>
            <w:rFonts w:ascii="Times New Roman" w:eastAsia="Times New Roman" w:hAnsi="Times New Roman" w:cs="Times New Roman"/>
            <w:color w:val="1155CC"/>
            <w:sz w:val="24"/>
            <w:szCs w:val="24"/>
            <w:u w:val="single"/>
          </w:rPr>
          <w:t>https://www.infobae.com/america/inhouse/2024/03/08/el-papel-fundamental-de-las-mujeres-en-la-transformacion-del-panorama-empresarial/</w:t>
        </w:r>
      </w:hyperlink>
    </w:p>
    <w:p w14:paraId="164FA816" w14:textId="77777777" w:rsidR="00EF4E75" w:rsidRDefault="00000000">
      <w:pPr>
        <w:widowControl w:val="0"/>
        <w:spacing w:line="360" w:lineRule="auto"/>
        <w:ind w:left="720" w:hanging="720"/>
        <w:jc w:val="both"/>
        <w:rPr>
          <w:rFonts w:ascii="Times New Roman" w:eastAsia="Times New Roman" w:hAnsi="Times New Roman" w:cs="Times New Roman"/>
          <w:color w:val="1155CC"/>
          <w:sz w:val="24"/>
          <w:szCs w:val="24"/>
          <w:u w:val="single"/>
        </w:rPr>
      </w:pPr>
      <w:r>
        <w:rPr>
          <w:rFonts w:ascii="Times New Roman" w:eastAsia="Times New Roman" w:hAnsi="Times New Roman" w:cs="Times New Roman"/>
          <w:sz w:val="24"/>
          <w:szCs w:val="24"/>
        </w:rPr>
        <w:t xml:space="preserve">Lagarde, M. (1996). </w:t>
      </w:r>
      <w:r>
        <w:rPr>
          <w:rFonts w:ascii="Times New Roman" w:eastAsia="Times New Roman" w:hAnsi="Times New Roman" w:cs="Times New Roman"/>
          <w:i/>
          <w:sz w:val="24"/>
          <w:szCs w:val="24"/>
        </w:rPr>
        <w:t xml:space="preserve">Los cautiverios de las mujeres: </w:t>
      </w:r>
      <w:proofErr w:type="spellStart"/>
      <w:r>
        <w:rPr>
          <w:rFonts w:ascii="Times New Roman" w:eastAsia="Times New Roman" w:hAnsi="Times New Roman" w:cs="Times New Roman"/>
          <w:i/>
          <w:sz w:val="24"/>
          <w:szCs w:val="24"/>
        </w:rPr>
        <w:t>Madresposas</w:t>
      </w:r>
      <w:proofErr w:type="spellEnd"/>
      <w:r>
        <w:rPr>
          <w:rFonts w:ascii="Times New Roman" w:eastAsia="Times New Roman" w:hAnsi="Times New Roman" w:cs="Times New Roman"/>
          <w:i/>
          <w:sz w:val="24"/>
          <w:szCs w:val="24"/>
        </w:rPr>
        <w:t>, monjas, putas, presas y locas</w:t>
      </w:r>
      <w:r>
        <w:rPr>
          <w:rFonts w:ascii="Times New Roman" w:eastAsia="Times New Roman" w:hAnsi="Times New Roman" w:cs="Times New Roman"/>
          <w:sz w:val="24"/>
          <w:szCs w:val="24"/>
        </w:rPr>
        <w:t>. Universidad Nacional Autónoma de México.</w:t>
      </w:r>
      <w:hyperlink r:id="rId35">
        <w:r>
          <w:rPr>
            <w:rFonts w:ascii="Times New Roman" w:eastAsia="Times New Roman" w:hAnsi="Times New Roman" w:cs="Times New Roman"/>
            <w:sz w:val="24"/>
            <w:szCs w:val="24"/>
          </w:rPr>
          <w:t xml:space="preserve"> </w:t>
        </w:r>
      </w:hyperlink>
      <w:hyperlink r:id="rId36">
        <w:r>
          <w:rPr>
            <w:rFonts w:ascii="Times New Roman" w:eastAsia="Times New Roman" w:hAnsi="Times New Roman" w:cs="Times New Roman"/>
            <w:color w:val="1155CC"/>
            <w:sz w:val="24"/>
            <w:szCs w:val="24"/>
            <w:u w:val="single"/>
          </w:rPr>
          <w:t>https://www.academia.edu/36161731/Marcela_Lagarde_Los_cautiverios_de_las_mujeres_Madresposas_monjas_putas_presas_y_locas_pdf</w:t>
        </w:r>
      </w:hyperlink>
    </w:p>
    <w:p w14:paraId="08F01602" w14:textId="77777777" w:rsidR="00EF4E75" w:rsidRDefault="00000000">
      <w:pPr>
        <w:widowControl w:val="0"/>
        <w:spacing w:line="360" w:lineRule="auto"/>
        <w:ind w:left="720" w:hanging="720"/>
        <w:jc w:val="both"/>
        <w:rPr>
          <w:rFonts w:ascii="Times New Roman" w:eastAsia="Times New Roman" w:hAnsi="Times New Roman" w:cs="Times New Roman"/>
          <w:color w:val="1155CC"/>
          <w:sz w:val="24"/>
          <w:szCs w:val="24"/>
          <w:u w:val="single"/>
        </w:rPr>
      </w:pPr>
      <w:r>
        <w:rPr>
          <w:rFonts w:ascii="Times New Roman" w:eastAsia="Times New Roman" w:hAnsi="Times New Roman" w:cs="Times New Roman"/>
          <w:sz w:val="24"/>
          <w:szCs w:val="24"/>
        </w:rPr>
        <w:t xml:space="preserve">Ley 1480 de 2011. (2011, 12 de octubre). Congreso de la República. </w:t>
      </w:r>
      <w:r>
        <w:rPr>
          <w:rFonts w:ascii="Times New Roman" w:eastAsia="Times New Roman" w:hAnsi="Times New Roman" w:cs="Times New Roman"/>
          <w:i/>
          <w:sz w:val="24"/>
          <w:szCs w:val="24"/>
        </w:rPr>
        <w:t>Diario Oficial No</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lastRenderedPageBreak/>
        <w:t>48.220.</w:t>
      </w:r>
      <w:hyperlink r:id="rId37">
        <w:r>
          <w:rPr>
            <w:rFonts w:ascii="Times New Roman" w:eastAsia="Times New Roman" w:hAnsi="Times New Roman" w:cs="Times New Roman"/>
            <w:sz w:val="24"/>
            <w:szCs w:val="24"/>
          </w:rPr>
          <w:t xml:space="preserve"> </w:t>
        </w:r>
      </w:hyperlink>
      <w:hyperlink r:id="rId38">
        <w:r>
          <w:rPr>
            <w:rFonts w:ascii="Times New Roman" w:eastAsia="Times New Roman" w:hAnsi="Times New Roman" w:cs="Times New Roman"/>
            <w:color w:val="1155CC"/>
            <w:sz w:val="24"/>
            <w:szCs w:val="24"/>
            <w:u w:val="single"/>
          </w:rPr>
          <w:t>https://www.funcionpublica.gov.co/eva/gestornormativo/norma.php?i=44306</w:t>
        </w:r>
      </w:hyperlink>
    </w:p>
    <w:p w14:paraId="7D88FF2C" w14:textId="77777777" w:rsidR="00EF4E75" w:rsidRDefault="00000000">
      <w:pPr>
        <w:widowControl w:val="0"/>
        <w:spacing w:line="360" w:lineRule="auto"/>
        <w:ind w:left="720" w:hanging="720"/>
        <w:jc w:val="both"/>
        <w:rPr>
          <w:rFonts w:ascii="Times New Roman" w:eastAsia="Times New Roman" w:hAnsi="Times New Roman" w:cs="Times New Roman"/>
          <w:sz w:val="24"/>
          <w:szCs w:val="24"/>
        </w:rPr>
      </w:pPr>
      <w:r w:rsidRPr="00B34D9C">
        <w:rPr>
          <w:rFonts w:ascii="Times New Roman" w:eastAsia="Times New Roman" w:hAnsi="Times New Roman" w:cs="Times New Roman"/>
          <w:sz w:val="24"/>
          <w:szCs w:val="24"/>
          <w:lang w:val="en-US"/>
        </w:rPr>
        <w:t xml:space="preserve">Locke, J. (1689/1988). </w:t>
      </w:r>
      <w:r w:rsidRPr="00B34D9C">
        <w:rPr>
          <w:rFonts w:ascii="Times New Roman" w:eastAsia="Times New Roman" w:hAnsi="Times New Roman" w:cs="Times New Roman"/>
          <w:i/>
          <w:sz w:val="24"/>
          <w:szCs w:val="24"/>
          <w:lang w:val="en-US"/>
        </w:rPr>
        <w:t>Two treatises of government</w:t>
      </w:r>
      <w:r w:rsidRPr="00B34D9C">
        <w:rPr>
          <w:rFonts w:ascii="Times New Roman" w:eastAsia="Times New Roman" w:hAnsi="Times New Roman" w:cs="Times New Roman"/>
          <w:sz w:val="24"/>
          <w:szCs w:val="24"/>
          <w:lang w:val="en-US"/>
        </w:rPr>
        <w:t xml:space="preserve"> (P. Laslett, Ed.). </w:t>
      </w:r>
      <w:r>
        <w:rPr>
          <w:rFonts w:ascii="Times New Roman" w:eastAsia="Times New Roman" w:hAnsi="Times New Roman" w:cs="Times New Roman"/>
          <w:sz w:val="24"/>
          <w:szCs w:val="24"/>
        </w:rPr>
        <w:t xml:space="preserve">Cambridge </w:t>
      </w:r>
      <w:proofErr w:type="spellStart"/>
      <w:r>
        <w:rPr>
          <w:rFonts w:ascii="Times New Roman" w:eastAsia="Times New Roman" w:hAnsi="Times New Roman" w:cs="Times New Roman"/>
          <w:sz w:val="24"/>
          <w:szCs w:val="24"/>
        </w:rPr>
        <w:t>University</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Press</w:t>
      </w:r>
      <w:proofErr w:type="spellEnd"/>
      <w:r>
        <w:rPr>
          <w:rFonts w:ascii="Times New Roman" w:eastAsia="Times New Roman" w:hAnsi="Times New Roman" w:cs="Times New Roman"/>
          <w:sz w:val="24"/>
          <w:szCs w:val="24"/>
        </w:rPr>
        <w:t>.</w:t>
      </w:r>
    </w:p>
    <w:p w14:paraId="0BB240E2" w14:textId="77777777" w:rsidR="00EF4E75" w:rsidRDefault="00000000">
      <w:pPr>
        <w:widowControl w:val="0"/>
        <w:spacing w:line="360" w:lineRule="auto"/>
        <w:ind w:left="720" w:hanging="720"/>
        <w:jc w:val="both"/>
        <w:rPr>
          <w:rFonts w:ascii="Times New Roman" w:eastAsia="Times New Roman" w:hAnsi="Times New Roman" w:cs="Times New Roman"/>
          <w:color w:val="1155CC"/>
          <w:sz w:val="24"/>
          <w:szCs w:val="24"/>
          <w:u w:val="single"/>
        </w:rPr>
      </w:pPr>
      <w:r>
        <w:rPr>
          <w:rFonts w:ascii="Times New Roman" w:eastAsia="Times New Roman" w:hAnsi="Times New Roman" w:cs="Times New Roman"/>
          <w:sz w:val="24"/>
          <w:szCs w:val="24"/>
        </w:rPr>
        <w:t xml:space="preserve">Medina, J. (2018). </w:t>
      </w:r>
      <w:r>
        <w:rPr>
          <w:rFonts w:ascii="Times New Roman" w:eastAsia="Times New Roman" w:hAnsi="Times New Roman" w:cs="Times New Roman"/>
          <w:i/>
          <w:sz w:val="24"/>
          <w:szCs w:val="24"/>
        </w:rPr>
        <w:t>La responsabilidad social empresarial como una obligación en materia de derechos humanos y la necesidad de su regulación jurídica en Nicaragua</w:t>
      </w:r>
      <w:r>
        <w:rPr>
          <w:rFonts w:ascii="Times New Roman" w:eastAsia="Times New Roman" w:hAnsi="Times New Roman" w:cs="Times New Roman"/>
          <w:sz w:val="24"/>
          <w:szCs w:val="24"/>
        </w:rPr>
        <w:t xml:space="preserve"> [Tesis de maestría, Universidad Nacional Autónoma de Nicaragua, León].</w:t>
      </w:r>
      <w:hyperlink r:id="rId39">
        <w:r>
          <w:rPr>
            <w:rFonts w:ascii="Times New Roman" w:eastAsia="Times New Roman" w:hAnsi="Times New Roman" w:cs="Times New Roman"/>
            <w:sz w:val="24"/>
            <w:szCs w:val="24"/>
          </w:rPr>
          <w:t xml:space="preserve"> </w:t>
        </w:r>
      </w:hyperlink>
      <w:hyperlink r:id="rId40">
        <w:r>
          <w:rPr>
            <w:rFonts w:ascii="Times New Roman" w:eastAsia="Times New Roman" w:hAnsi="Times New Roman" w:cs="Times New Roman"/>
            <w:color w:val="1155CC"/>
            <w:sz w:val="24"/>
            <w:szCs w:val="24"/>
            <w:u w:val="single"/>
          </w:rPr>
          <w:t>http://riul.unanleon.edu.ni:8080/jspui/bitstream/123456789/7263/1/242478.pdf</w:t>
        </w:r>
      </w:hyperlink>
    </w:p>
    <w:p w14:paraId="506FE85B" w14:textId="77777777" w:rsidR="00EF4E75" w:rsidRDefault="00000000">
      <w:pPr>
        <w:widowControl w:val="0"/>
        <w:spacing w:line="360" w:lineRule="auto"/>
        <w:ind w:left="720" w:hanging="720"/>
        <w:jc w:val="both"/>
        <w:rPr>
          <w:rFonts w:ascii="Times New Roman" w:eastAsia="Times New Roman" w:hAnsi="Times New Roman" w:cs="Times New Roman"/>
          <w:color w:val="1155CC"/>
          <w:sz w:val="24"/>
          <w:szCs w:val="24"/>
          <w:u w:val="single"/>
        </w:rPr>
      </w:pPr>
      <w:proofErr w:type="spellStart"/>
      <w:r>
        <w:rPr>
          <w:rFonts w:ascii="Times New Roman" w:eastAsia="Times New Roman" w:hAnsi="Times New Roman" w:cs="Times New Roman"/>
          <w:sz w:val="24"/>
          <w:szCs w:val="24"/>
        </w:rPr>
        <w:t>Misses-Liwerant</w:t>
      </w:r>
      <w:proofErr w:type="spellEnd"/>
      <w:r>
        <w:rPr>
          <w:rFonts w:ascii="Times New Roman" w:eastAsia="Times New Roman" w:hAnsi="Times New Roman" w:cs="Times New Roman"/>
          <w:sz w:val="24"/>
          <w:szCs w:val="24"/>
        </w:rPr>
        <w:t xml:space="preserve">, J. (2020). Mujer y género en el siglo XXI. Perspectivas, implicaciones y dilemas. </w:t>
      </w:r>
      <w:r>
        <w:rPr>
          <w:rFonts w:ascii="Times New Roman" w:eastAsia="Times New Roman" w:hAnsi="Times New Roman" w:cs="Times New Roman"/>
          <w:i/>
          <w:sz w:val="24"/>
          <w:szCs w:val="24"/>
        </w:rPr>
        <w:t>Revista mexicana de ciencias políticas y sociales, 65</w:t>
      </w:r>
      <w:r>
        <w:rPr>
          <w:rFonts w:ascii="Times New Roman" w:eastAsia="Times New Roman" w:hAnsi="Times New Roman" w:cs="Times New Roman"/>
          <w:sz w:val="24"/>
          <w:szCs w:val="24"/>
        </w:rPr>
        <w:t>(240), 9-24.</w:t>
      </w:r>
      <w:hyperlink r:id="rId41">
        <w:r>
          <w:rPr>
            <w:rFonts w:ascii="Times New Roman" w:eastAsia="Times New Roman" w:hAnsi="Times New Roman" w:cs="Times New Roman"/>
            <w:sz w:val="24"/>
            <w:szCs w:val="24"/>
          </w:rPr>
          <w:t xml:space="preserve"> </w:t>
        </w:r>
      </w:hyperlink>
      <w:hyperlink r:id="rId42">
        <w:r>
          <w:rPr>
            <w:rFonts w:ascii="Times New Roman" w:eastAsia="Times New Roman" w:hAnsi="Times New Roman" w:cs="Times New Roman"/>
            <w:color w:val="1155CC"/>
            <w:sz w:val="24"/>
            <w:szCs w:val="24"/>
            <w:u w:val="single"/>
          </w:rPr>
          <w:t>https://doi.org/10.22201/fcpys.2448492xe.2020.240.76627</w:t>
        </w:r>
      </w:hyperlink>
    </w:p>
    <w:p w14:paraId="7031C51F" w14:textId="77777777" w:rsidR="00EF4E75" w:rsidRDefault="00000000">
      <w:pPr>
        <w:widowControl w:val="0"/>
        <w:spacing w:line="360" w:lineRule="auto"/>
        <w:ind w:left="720" w:hanging="720"/>
        <w:jc w:val="both"/>
        <w:rPr>
          <w:rFonts w:ascii="Times New Roman" w:eastAsia="Times New Roman" w:hAnsi="Times New Roman" w:cs="Times New Roman"/>
          <w:color w:val="1155CC"/>
          <w:sz w:val="24"/>
          <w:szCs w:val="24"/>
          <w:u w:val="single"/>
        </w:rPr>
      </w:pPr>
      <w:r>
        <w:rPr>
          <w:rFonts w:ascii="Times New Roman" w:eastAsia="Times New Roman" w:hAnsi="Times New Roman" w:cs="Times New Roman"/>
          <w:sz w:val="24"/>
          <w:szCs w:val="24"/>
        </w:rPr>
        <w:t xml:space="preserve">Naciones Unidas. (1979). </w:t>
      </w:r>
      <w:r>
        <w:rPr>
          <w:rFonts w:ascii="Times New Roman" w:eastAsia="Times New Roman" w:hAnsi="Times New Roman" w:cs="Times New Roman"/>
          <w:i/>
          <w:sz w:val="24"/>
          <w:szCs w:val="24"/>
        </w:rPr>
        <w:t>Convención sobre la eliminación de todas las formas de discriminación contra la mujer (CEDAW)</w:t>
      </w:r>
      <w:r>
        <w:rPr>
          <w:rFonts w:ascii="Times New Roman" w:eastAsia="Times New Roman" w:hAnsi="Times New Roman" w:cs="Times New Roman"/>
          <w:sz w:val="24"/>
          <w:szCs w:val="24"/>
        </w:rPr>
        <w:t>.</w:t>
      </w:r>
      <w:hyperlink r:id="rId43">
        <w:r>
          <w:rPr>
            <w:rFonts w:ascii="Times New Roman" w:eastAsia="Times New Roman" w:hAnsi="Times New Roman" w:cs="Times New Roman"/>
            <w:sz w:val="24"/>
            <w:szCs w:val="24"/>
          </w:rPr>
          <w:t xml:space="preserve"> </w:t>
        </w:r>
      </w:hyperlink>
      <w:hyperlink r:id="rId44">
        <w:r>
          <w:rPr>
            <w:rFonts w:ascii="Times New Roman" w:eastAsia="Times New Roman" w:hAnsi="Times New Roman" w:cs="Times New Roman"/>
            <w:color w:val="1155CC"/>
            <w:sz w:val="24"/>
            <w:szCs w:val="24"/>
            <w:u w:val="single"/>
          </w:rPr>
          <w:t>https://www.ohchr.org/es/instruments-mechanisms/instruments/convention-elimination-all-forms-discrimination-against-women</w:t>
        </w:r>
      </w:hyperlink>
    </w:p>
    <w:p w14:paraId="40641CD7" w14:textId="77777777" w:rsidR="00EF4E75" w:rsidRDefault="00000000">
      <w:pPr>
        <w:widowControl w:val="0"/>
        <w:spacing w:line="360" w:lineRule="auto"/>
        <w:ind w:left="72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Naciones Unidas. (2011). </w:t>
      </w:r>
      <w:r>
        <w:rPr>
          <w:rFonts w:ascii="Times New Roman" w:eastAsia="Times New Roman" w:hAnsi="Times New Roman" w:cs="Times New Roman"/>
          <w:i/>
          <w:sz w:val="24"/>
          <w:szCs w:val="24"/>
        </w:rPr>
        <w:t>Principios Rectores sobre las Empresas y los Derechos Humanos</w:t>
      </w:r>
      <w:r>
        <w:rPr>
          <w:rFonts w:ascii="Times New Roman" w:eastAsia="Times New Roman" w:hAnsi="Times New Roman" w:cs="Times New Roman"/>
          <w:sz w:val="24"/>
          <w:szCs w:val="24"/>
        </w:rPr>
        <w:t>.</w:t>
      </w:r>
    </w:p>
    <w:p w14:paraId="5BB33135" w14:textId="77777777" w:rsidR="00EF4E75" w:rsidRDefault="00000000">
      <w:pPr>
        <w:widowControl w:val="0"/>
        <w:spacing w:line="360" w:lineRule="auto"/>
        <w:ind w:left="720" w:hanging="720"/>
        <w:jc w:val="both"/>
        <w:rPr>
          <w:rFonts w:ascii="Times New Roman" w:eastAsia="Times New Roman" w:hAnsi="Times New Roman" w:cs="Times New Roman"/>
          <w:color w:val="1155CC"/>
          <w:sz w:val="24"/>
          <w:szCs w:val="24"/>
          <w:u w:val="single"/>
        </w:rPr>
      </w:pPr>
      <w:r>
        <w:rPr>
          <w:rFonts w:ascii="Times New Roman" w:eastAsia="Times New Roman" w:hAnsi="Times New Roman" w:cs="Times New Roman"/>
          <w:sz w:val="24"/>
          <w:szCs w:val="24"/>
        </w:rPr>
        <w:t xml:space="preserve">Naciones Unidas. (2015). </w:t>
      </w:r>
      <w:r>
        <w:rPr>
          <w:rFonts w:ascii="Times New Roman" w:eastAsia="Times New Roman" w:hAnsi="Times New Roman" w:cs="Times New Roman"/>
          <w:i/>
          <w:sz w:val="24"/>
          <w:szCs w:val="24"/>
        </w:rPr>
        <w:t>Transformar nuestro mundo: la Agenda 2030 para el Desarrollo Sostenible</w:t>
      </w:r>
      <w:r>
        <w:rPr>
          <w:rFonts w:ascii="Times New Roman" w:eastAsia="Times New Roman" w:hAnsi="Times New Roman" w:cs="Times New Roman"/>
          <w:sz w:val="24"/>
          <w:szCs w:val="24"/>
        </w:rPr>
        <w:t>.</w:t>
      </w:r>
      <w:hyperlink r:id="rId45">
        <w:r>
          <w:rPr>
            <w:rFonts w:ascii="Times New Roman" w:eastAsia="Times New Roman" w:hAnsi="Times New Roman" w:cs="Times New Roman"/>
            <w:sz w:val="24"/>
            <w:szCs w:val="24"/>
          </w:rPr>
          <w:t xml:space="preserve"> </w:t>
        </w:r>
      </w:hyperlink>
      <w:hyperlink r:id="rId46">
        <w:r>
          <w:rPr>
            <w:rFonts w:ascii="Times New Roman" w:eastAsia="Times New Roman" w:hAnsi="Times New Roman" w:cs="Times New Roman"/>
            <w:color w:val="1155CC"/>
            <w:sz w:val="24"/>
            <w:szCs w:val="24"/>
            <w:u w:val="single"/>
          </w:rPr>
          <w:t>https://sdgs.un.org/2030agenda</w:t>
        </w:r>
      </w:hyperlink>
    </w:p>
    <w:p w14:paraId="04739493" w14:textId="77777777" w:rsidR="00EF4E75" w:rsidRDefault="00000000">
      <w:pPr>
        <w:widowControl w:val="0"/>
        <w:spacing w:line="360" w:lineRule="auto"/>
        <w:ind w:left="720" w:hanging="720"/>
        <w:jc w:val="both"/>
        <w:rPr>
          <w:rFonts w:ascii="Times New Roman" w:eastAsia="Times New Roman" w:hAnsi="Times New Roman" w:cs="Times New Roman"/>
          <w:color w:val="1155CC"/>
          <w:sz w:val="24"/>
          <w:szCs w:val="24"/>
          <w:u w:val="single"/>
        </w:rPr>
      </w:pPr>
      <w:r>
        <w:rPr>
          <w:rFonts w:ascii="Times New Roman" w:eastAsia="Times New Roman" w:hAnsi="Times New Roman" w:cs="Times New Roman"/>
          <w:sz w:val="24"/>
          <w:szCs w:val="24"/>
        </w:rPr>
        <w:t xml:space="preserve">Naciones Unidas. (s.f.). </w:t>
      </w:r>
      <w:r>
        <w:rPr>
          <w:rFonts w:ascii="Times New Roman" w:eastAsia="Times New Roman" w:hAnsi="Times New Roman" w:cs="Times New Roman"/>
          <w:i/>
          <w:sz w:val="24"/>
          <w:szCs w:val="24"/>
        </w:rPr>
        <w:t>Objetivos de Desarrollo Sostenible</w:t>
      </w:r>
      <w:r>
        <w:rPr>
          <w:rFonts w:ascii="Times New Roman" w:eastAsia="Times New Roman" w:hAnsi="Times New Roman" w:cs="Times New Roman"/>
          <w:sz w:val="24"/>
          <w:szCs w:val="24"/>
        </w:rPr>
        <w:t>.</w:t>
      </w:r>
      <w:hyperlink r:id="rId47">
        <w:r>
          <w:rPr>
            <w:rFonts w:ascii="Times New Roman" w:eastAsia="Times New Roman" w:hAnsi="Times New Roman" w:cs="Times New Roman"/>
            <w:sz w:val="24"/>
            <w:szCs w:val="24"/>
          </w:rPr>
          <w:t xml:space="preserve"> </w:t>
        </w:r>
      </w:hyperlink>
      <w:hyperlink r:id="rId48">
        <w:r>
          <w:rPr>
            <w:rFonts w:ascii="Times New Roman" w:eastAsia="Times New Roman" w:hAnsi="Times New Roman" w:cs="Times New Roman"/>
            <w:color w:val="1155CC"/>
            <w:sz w:val="24"/>
            <w:szCs w:val="24"/>
            <w:u w:val="single"/>
          </w:rPr>
          <w:t>https://www.un.org/sustainabledevelopment/es/objetivos-de-desarrollo-sostenible/</w:t>
        </w:r>
      </w:hyperlink>
    </w:p>
    <w:p w14:paraId="61178878" w14:textId="77777777" w:rsidR="00EF4E75" w:rsidRDefault="00000000">
      <w:pPr>
        <w:widowControl w:val="0"/>
        <w:spacing w:line="360" w:lineRule="auto"/>
        <w:ind w:left="720" w:hanging="720"/>
        <w:jc w:val="both"/>
        <w:rPr>
          <w:rFonts w:ascii="Times New Roman" w:eastAsia="Times New Roman" w:hAnsi="Times New Roman" w:cs="Times New Roman"/>
          <w:color w:val="1155CC"/>
          <w:sz w:val="24"/>
          <w:szCs w:val="24"/>
          <w:u w:val="single"/>
        </w:rPr>
      </w:pPr>
      <w:r>
        <w:rPr>
          <w:rFonts w:ascii="Times New Roman" w:eastAsia="Times New Roman" w:hAnsi="Times New Roman" w:cs="Times New Roman"/>
          <w:sz w:val="24"/>
          <w:szCs w:val="24"/>
        </w:rPr>
        <w:t xml:space="preserve">NUTRESA. (2023). </w:t>
      </w:r>
      <w:r>
        <w:rPr>
          <w:rFonts w:ascii="Times New Roman" w:eastAsia="Times New Roman" w:hAnsi="Times New Roman" w:cs="Times New Roman"/>
          <w:i/>
          <w:sz w:val="24"/>
          <w:szCs w:val="24"/>
        </w:rPr>
        <w:t>Compromiso permanente con la equidad de género</w:t>
      </w:r>
      <w:r>
        <w:rPr>
          <w:rFonts w:ascii="Times New Roman" w:eastAsia="Times New Roman" w:hAnsi="Times New Roman" w:cs="Times New Roman"/>
          <w:sz w:val="24"/>
          <w:szCs w:val="24"/>
        </w:rPr>
        <w:t>.</w:t>
      </w:r>
      <w:hyperlink r:id="rId49">
        <w:r>
          <w:rPr>
            <w:rFonts w:ascii="Times New Roman" w:eastAsia="Times New Roman" w:hAnsi="Times New Roman" w:cs="Times New Roman"/>
            <w:sz w:val="24"/>
            <w:szCs w:val="24"/>
          </w:rPr>
          <w:t xml:space="preserve"> </w:t>
        </w:r>
      </w:hyperlink>
      <w:hyperlink r:id="rId50">
        <w:r>
          <w:rPr>
            <w:rFonts w:ascii="Times New Roman" w:eastAsia="Times New Roman" w:hAnsi="Times New Roman" w:cs="Times New Roman"/>
            <w:color w:val="1155CC"/>
            <w:sz w:val="24"/>
            <w:szCs w:val="24"/>
            <w:u w:val="single"/>
          </w:rPr>
          <w:t>https://gruponutresa.com/en-nutresa-trabajamos-por-impulsar-la-equidad-de-genero-y-el-liderazgo-femenino-en-las-novaempresarias/13891/</w:t>
        </w:r>
      </w:hyperlink>
    </w:p>
    <w:p w14:paraId="5EDB3EDB" w14:textId="77777777" w:rsidR="00EF4E75" w:rsidRDefault="00000000">
      <w:pPr>
        <w:widowControl w:val="0"/>
        <w:spacing w:line="360" w:lineRule="auto"/>
        <w:ind w:left="720" w:hanging="720"/>
        <w:jc w:val="both"/>
        <w:rPr>
          <w:rFonts w:ascii="Times New Roman" w:eastAsia="Times New Roman" w:hAnsi="Times New Roman" w:cs="Times New Roman"/>
          <w:color w:val="1155CC"/>
          <w:sz w:val="24"/>
          <w:szCs w:val="24"/>
          <w:u w:val="single"/>
        </w:rPr>
      </w:pPr>
      <w:r>
        <w:rPr>
          <w:rFonts w:ascii="Times New Roman" w:eastAsia="Times New Roman" w:hAnsi="Times New Roman" w:cs="Times New Roman"/>
          <w:sz w:val="24"/>
          <w:szCs w:val="24"/>
        </w:rPr>
        <w:t xml:space="preserve">ONU Mujeres. (1995). </w:t>
      </w:r>
      <w:r>
        <w:rPr>
          <w:rFonts w:ascii="Times New Roman" w:eastAsia="Times New Roman" w:hAnsi="Times New Roman" w:cs="Times New Roman"/>
          <w:i/>
          <w:sz w:val="24"/>
          <w:szCs w:val="24"/>
        </w:rPr>
        <w:t>Plataforma de Acción de Beijing</w:t>
      </w:r>
      <w:r>
        <w:rPr>
          <w:rFonts w:ascii="Times New Roman" w:eastAsia="Times New Roman" w:hAnsi="Times New Roman" w:cs="Times New Roman"/>
          <w:sz w:val="24"/>
          <w:szCs w:val="24"/>
        </w:rPr>
        <w:t>.</w:t>
      </w:r>
      <w:hyperlink r:id="rId51">
        <w:r>
          <w:rPr>
            <w:rFonts w:ascii="Times New Roman" w:eastAsia="Times New Roman" w:hAnsi="Times New Roman" w:cs="Times New Roman"/>
            <w:sz w:val="24"/>
            <w:szCs w:val="24"/>
          </w:rPr>
          <w:t xml:space="preserve"> </w:t>
        </w:r>
      </w:hyperlink>
      <w:hyperlink r:id="rId52">
        <w:r>
          <w:rPr>
            <w:rFonts w:ascii="Times New Roman" w:eastAsia="Times New Roman" w:hAnsi="Times New Roman" w:cs="Times New Roman"/>
            <w:color w:val="1155CC"/>
            <w:sz w:val="24"/>
            <w:szCs w:val="24"/>
            <w:u w:val="single"/>
          </w:rPr>
          <w:t>https://www.unwomen.org/es/what-we-do</w:t>
        </w:r>
      </w:hyperlink>
    </w:p>
    <w:p w14:paraId="1C073A8B" w14:textId="77777777" w:rsidR="00EF4E75" w:rsidRDefault="00000000">
      <w:pPr>
        <w:widowControl w:val="0"/>
        <w:spacing w:line="360" w:lineRule="auto"/>
        <w:ind w:left="720" w:hanging="72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OpenAI</w:t>
      </w:r>
      <w:proofErr w:type="spellEnd"/>
      <w:r>
        <w:rPr>
          <w:rFonts w:ascii="Times New Roman" w:eastAsia="Times New Roman" w:hAnsi="Times New Roman" w:cs="Times New Roman"/>
          <w:sz w:val="24"/>
          <w:szCs w:val="24"/>
        </w:rPr>
        <w:t xml:space="preserve">. (2025). </w:t>
      </w:r>
      <w:proofErr w:type="spellStart"/>
      <w:r>
        <w:rPr>
          <w:rFonts w:ascii="Times New Roman" w:eastAsia="Times New Roman" w:hAnsi="Times New Roman" w:cs="Times New Roman"/>
          <w:i/>
          <w:sz w:val="24"/>
          <w:szCs w:val="24"/>
        </w:rPr>
        <w:t>ChatGPT</w:t>
      </w:r>
      <w:proofErr w:type="spellEnd"/>
      <w:r>
        <w:rPr>
          <w:rFonts w:ascii="Times New Roman" w:eastAsia="Times New Roman" w:hAnsi="Times New Roman" w:cs="Times New Roman"/>
          <w:i/>
          <w:sz w:val="24"/>
          <w:szCs w:val="24"/>
        </w:rPr>
        <w:t xml:space="preserve"> es una herramienta de IA utilizada para apoyo bibliográfico</w:t>
      </w:r>
      <w:r>
        <w:rPr>
          <w:rFonts w:ascii="Times New Roman" w:eastAsia="Times New Roman" w:hAnsi="Times New Roman" w:cs="Times New Roman"/>
          <w:sz w:val="24"/>
          <w:szCs w:val="24"/>
        </w:rPr>
        <w:t>.</w:t>
      </w:r>
    </w:p>
    <w:p w14:paraId="5C5D97F3" w14:textId="77777777" w:rsidR="00EF4E75" w:rsidRDefault="00000000">
      <w:pPr>
        <w:widowControl w:val="0"/>
        <w:spacing w:line="360" w:lineRule="auto"/>
        <w:ind w:left="720" w:hanging="720"/>
        <w:jc w:val="both"/>
        <w:rPr>
          <w:rFonts w:ascii="Times New Roman" w:eastAsia="Times New Roman" w:hAnsi="Times New Roman" w:cs="Times New Roman"/>
          <w:color w:val="1155CC"/>
          <w:sz w:val="24"/>
          <w:szCs w:val="24"/>
          <w:u w:val="single"/>
        </w:rPr>
      </w:pPr>
      <w:r>
        <w:rPr>
          <w:rFonts w:ascii="Times New Roman" w:eastAsia="Times New Roman" w:hAnsi="Times New Roman" w:cs="Times New Roman"/>
          <w:sz w:val="24"/>
          <w:szCs w:val="24"/>
        </w:rPr>
        <w:t xml:space="preserve">Organización Internacional del Trabajo. (1951). </w:t>
      </w:r>
      <w:r>
        <w:rPr>
          <w:rFonts w:ascii="Times New Roman" w:eastAsia="Times New Roman" w:hAnsi="Times New Roman" w:cs="Times New Roman"/>
          <w:i/>
          <w:sz w:val="24"/>
          <w:szCs w:val="24"/>
        </w:rPr>
        <w:t xml:space="preserve">Convenio sobre la igualdad de </w:t>
      </w:r>
      <w:r>
        <w:rPr>
          <w:rFonts w:ascii="Times New Roman" w:eastAsia="Times New Roman" w:hAnsi="Times New Roman" w:cs="Times New Roman"/>
          <w:i/>
          <w:sz w:val="24"/>
          <w:szCs w:val="24"/>
        </w:rPr>
        <w:lastRenderedPageBreak/>
        <w:t>remuneración, 1951 (Núm. 100)</w:t>
      </w:r>
      <w:r>
        <w:rPr>
          <w:rFonts w:ascii="Times New Roman" w:eastAsia="Times New Roman" w:hAnsi="Times New Roman" w:cs="Times New Roman"/>
          <w:sz w:val="24"/>
          <w:szCs w:val="24"/>
        </w:rPr>
        <w:t>.</w:t>
      </w:r>
      <w:hyperlink r:id="rId53">
        <w:r>
          <w:rPr>
            <w:rFonts w:ascii="Times New Roman" w:eastAsia="Times New Roman" w:hAnsi="Times New Roman" w:cs="Times New Roman"/>
            <w:sz w:val="24"/>
            <w:szCs w:val="24"/>
          </w:rPr>
          <w:t xml:space="preserve"> </w:t>
        </w:r>
      </w:hyperlink>
      <w:hyperlink r:id="rId54">
        <w:r>
          <w:rPr>
            <w:rFonts w:ascii="Times New Roman" w:eastAsia="Times New Roman" w:hAnsi="Times New Roman" w:cs="Times New Roman"/>
            <w:color w:val="1155CC"/>
            <w:sz w:val="24"/>
            <w:szCs w:val="24"/>
            <w:u w:val="single"/>
          </w:rPr>
          <w:t>https://www.ilo.org</w:t>
        </w:r>
      </w:hyperlink>
    </w:p>
    <w:p w14:paraId="0D9B1AA0" w14:textId="77777777" w:rsidR="00EF4E75" w:rsidRDefault="00000000">
      <w:pPr>
        <w:widowControl w:val="0"/>
        <w:spacing w:line="360" w:lineRule="auto"/>
        <w:ind w:left="720" w:hanging="720"/>
        <w:jc w:val="both"/>
        <w:rPr>
          <w:rFonts w:ascii="Times New Roman" w:eastAsia="Times New Roman" w:hAnsi="Times New Roman" w:cs="Times New Roman"/>
          <w:color w:val="1155CC"/>
          <w:sz w:val="24"/>
          <w:szCs w:val="24"/>
          <w:u w:val="single"/>
        </w:rPr>
      </w:pPr>
      <w:r>
        <w:rPr>
          <w:rFonts w:ascii="Times New Roman" w:eastAsia="Times New Roman" w:hAnsi="Times New Roman" w:cs="Times New Roman"/>
          <w:sz w:val="24"/>
          <w:szCs w:val="24"/>
        </w:rPr>
        <w:t xml:space="preserve">Organización Internacional del Trabajo. (2019). </w:t>
      </w:r>
      <w:r>
        <w:rPr>
          <w:rFonts w:ascii="Times New Roman" w:eastAsia="Times New Roman" w:hAnsi="Times New Roman" w:cs="Times New Roman"/>
          <w:i/>
          <w:sz w:val="24"/>
          <w:szCs w:val="24"/>
        </w:rPr>
        <w:t>Convenio sobre la violencia y el acoso, 2019 (Núm. 190)</w:t>
      </w:r>
      <w:r>
        <w:rPr>
          <w:rFonts w:ascii="Times New Roman" w:eastAsia="Times New Roman" w:hAnsi="Times New Roman" w:cs="Times New Roman"/>
          <w:sz w:val="24"/>
          <w:szCs w:val="24"/>
        </w:rPr>
        <w:t>.</w:t>
      </w:r>
      <w:hyperlink r:id="rId55">
        <w:r>
          <w:rPr>
            <w:rFonts w:ascii="Times New Roman" w:eastAsia="Times New Roman" w:hAnsi="Times New Roman" w:cs="Times New Roman"/>
            <w:sz w:val="24"/>
            <w:szCs w:val="24"/>
          </w:rPr>
          <w:t xml:space="preserve"> </w:t>
        </w:r>
      </w:hyperlink>
      <w:hyperlink r:id="rId56">
        <w:r>
          <w:rPr>
            <w:rFonts w:ascii="Times New Roman" w:eastAsia="Times New Roman" w:hAnsi="Times New Roman" w:cs="Times New Roman"/>
            <w:color w:val="1155CC"/>
            <w:sz w:val="24"/>
            <w:szCs w:val="24"/>
            <w:u w:val="single"/>
          </w:rPr>
          <w:t>https://www.ilo.org</w:t>
        </w:r>
      </w:hyperlink>
    </w:p>
    <w:p w14:paraId="12591B55" w14:textId="77777777" w:rsidR="00EF4E75" w:rsidRDefault="00000000">
      <w:pPr>
        <w:widowControl w:val="0"/>
        <w:spacing w:line="360" w:lineRule="auto"/>
        <w:ind w:left="720" w:hanging="720"/>
        <w:jc w:val="both"/>
        <w:rPr>
          <w:rFonts w:ascii="Times New Roman" w:eastAsia="Times New Roman" w:hAnsi="Times New Roman" w:cs="Times New Roman"/>
          <w:color w:val="1155CC"/>
          <w:sz w:val="24"/>
          <w:szCs w:val="24"/>
          <w:u w:val="single"/>
        </w:rPr>
      </w:pPr>
      <w:r>
        <w:rPr>
          <w:rFonts w:ascii="Times New Roman" w:eastAsia="Times New Roman" w:hAnsi="Times New Roman" w:cs="Times New Roman"/>
          <w:sz w:val="24"/>
          <w:szCs w:val="24"/>
        </w:rPr>
        <w:t xml:space="preserve">Portafolio. (2018). </w:t>
      </w:r>
      <w:proofErr w:type="spellStart"/>
      <w:r>
        <w:rPr>
          <w:rFonts w:ascii="Times New Roman" w:eastAsia="Times New Roman" w:hAnsi="Times New Roman" w:cs="Times New Roman"/>
          <w:i/>
          <w:sz w:val="24"/>
          <w:szCs w:val="24"/>
        </w:rPr>
        <w:t>TenarisTuboCaribe</w:t>
      </w:r>
      <w:proofErr w:type="spellEnd"/>
      <w:r>
        <w:rPr>
          <w:rFonts w:ascii="Times New Roman" w:eastAsia="Times New Roman" w:hAnsi="Times New Roman" w:cs="Times New Roman"/>
          <w:i/>
          <w:sz w:val="24"/>
          <w:szCs w:val="24"/>
        </w:rPr>
        <w:t xml:space="preserve"> es reconocida como un modelo de equidad laboral</w:t>
      </w:r>
      <w:r>
        <w:rPr>
          <w:rFonts w:ascii="Times New Roman" w:eastAsia="Times New Roman" w:hAnsi="Times New Roman" w:cs="Times New Roman"/>
          <w:sz w:val="24"/>
          <w:szCs w:val="24"/>
        </w:rPr>
        <w:t>.</w:t>
      </w:r>
      <w:hyperlink r:id="rId57">
        <w:r>
          <w:rPr>
            <w:rFonts w:ascii="Times New Roman" w:eastAsia="Times New Roman" w:hAnsi="Times New Roman" w:cs="Times New Roman"/>
            <w:sz w:val="24"/>
            <w:szCs w:val="24"/>
          </w:rPr>
          <w:t xml:space="preserve"> </w:t>
        </w:r>
      </w:hyperlink>
      <w:hyperlink r:id="rId58">
        <w:r>
          <w:rPr>
            <w:rFonts w:ascii="Times New Roman" w:eastAsia="Times New Roman" w:hAnsi="Times New Roman" w:cs="Times New Roman"/>
            <w:color w:val="1155CC"/>
            <w:sz w:val="24"/>
            <w:szCs w:val="24"/>
            <w:u w:val="single"/>
          </w:rPr>
          <w:t>https://www.portafolio.co/economia/tenaristubocaribe-es-reconocida-como-un-modelo-de-equidad-laboral-516637</w:t>
        </w:r>
      </w:hyperlink>
    </w:p>
    <w:p w14:paraId="7F7A4FFC" w14:textId="77777777" w:rsidR="00EF4E75" w:rsidRDefault="00000000">
      <w:pPr>
        <w:widowControl w:val="0"/>
        <w:spacing w:line="360" w:lineRule="auto"/>
        <w:ind w:left="720" w:hanging="720"/>
        <w:jc w:val="both"/>
        <w:rPr>
          <w:rFonts w:ascii="Times New Roman" w:eastAsia="Times New Roman" w:hAnsi="Times New Roman" w:cs="Times New Roman"/>
          <w:color w:val="1155CC"/>
          <w:sz w:val="24"/>
          <w:szCs w:val="24"/>
          <w:u w:val="single"/>
        </w:rPr>
      </w:pPr>
      <w:r w:rsidRPr="00B34D9C">
        <w:rPr>
          <w:rFonts w:ascii="Times New Roman" w:eastAsia="Times New Roman" w:hAnsi="Times New Roman" w:cs="Times New Roman"/>
          <w:sz w:val="24"/>
          <w:szCs w:val="24"/>
          <w:lang w:val="en-US"/>
        </w:rPr>
        <w:t xml:space="preserve">Porter, M. E., &amp; Kramer, M. R. (2011). Creating shared value. </w:t>
      </w:r>
      <w:r>
        <w:rPr>
          <w:rFonts w:ascii="Times New Roman" w:eastAsia="Times New Roman" w:hAnsi="Times New Roman" w:cs="Times New Roman"/>
          <w:i/>
          <w:sz w:val="24"/>
          <w:szCs w:val="24"/>
        </w:rPr>
        <w:t xml:space="preserve">Harvard Business </w:t>
      </w:r>
      <w:proofErr w:type="spellStart"/>
      <w:r>
        <w:rPr>
          <w:rFonts w:ascii="Times New Roman" w:eastAsia="Times New Roman" w:hAnsi="Times New Roman" w:cs="Times New Roman"/>
          <w:i/>
          <w:sz w:val="24"/>
          <w:szCs w:val="24"/>
        </w:rPr>
        <w:t>Review</w:t>
      </w:r>
      <w:proofErr w:type="spellEnd"/>
      <w:r>
        <w:rPr>
          <w:rFonts w:ascii="Times New Roman" w:eastAsia="Times New Roman" w:hAnsi="Times New Roman" w:cs="Times New Roman"/>
          <w:i/>
          <w:sz w:val="24"/>
          <w:szCs w:val="24"/>
        </w:rPr>
        <w:t>, 89</w:t>
      </w:r>
      <w:r>
        <w:rPr>
          <w:rFonts w:ascii="Times New Roman" w:eastAsia="Times New Roman" w:hAnsi="Times New Roman" w:cs="Times New Roman"/>
          <w:sz w:val="24"/>
          <w:szCs w:val="24"/>
        </w:rPr>
        <w:t>(1-2), 62-77.</w:t>
      </w:r>
      <w:hyperlink r:id="rId59">
        <w:r>
          <w:rPr>
            <w:rFonts w:ascii="Times New Roman" w:eastAsia="Times New Roman" w:hAnsi="Times New Roman" w:cs="Times New Roman"/>
            <w:sz w:val="24"/>
            <w:szCs w:val="24"/>
          </w:rPr>
          <w:t xml:space="preserve"> </w:t>
        </w:r>
      </w:hyperlink>
      <w:hyperlink r:id="rId60">
        <w:r>
          <w:rPr>
            <w:rFonts w:ascii="Times New Roman" w:eastAsia="Times New Roman" w:hAnsi="Times New Roman" w:cs="Times New Roman"/>
            <w:color w:val="1155CC"/>
            <w:sz w:val="24"/>
            <w:szCs w:val="24"/>
            <w:u w:val="single"/>
          </w:rPr>
          <w:t>https://hbr.org/2011/01/the-big-idea-creating-shared-value</w:t>
        </w:r>
      </w:hyperlink>
    </w:p>
    <w:p w14:paraId="125B7B06" w14:textId="77777777" w:rsidR="00EF4E75" w:rsidRPr="00B34D9C" w:rsidRDefault="00000000">
      <w:pPr>
        <w:widowControl w:val="0"/>
        <w:spacing w:line="360" w:lineRule="auto"/>
        <w:ind w:left="720" w:hanging="720"/>
        <w:jc w:val="both"/>
        <w:rPr>
          <w:rFonts w:ascii="Times New Roman" w:eastAsia="Times New Roman" w:hAnsi="Times New Roman" w:cs="Times New Roman"/>
          <w:sz w:val="24"/>
          <w:szCs w:val="24"/>
          <w:lang w:val="en-US"/>
        </w:rPr>
      </w:pPr>
      <w:r w:rsidRPr="00B34D9C">
        <w:rPr>
          <w:rFonts w:ascii="Times New Roman" w:eastAsia="Times New Roman" w:hAnsi="Times New Roman" w:cs="Times New Roman"/>
          <w:sz w:val="24"/>
          <w:szCs w:val="24"/>
          <w:lang w:val="en-US"/>
        </w:rPr>
        <w:t xml:space="preserve">Rousseau, J. J. (1762). </w:t>
      </w:r>
      <w:r w:rsidRPr="00B34D9C">
        <w:rPr>
          <w:rFonts w:ascii="Times New Roman" w:eastAsia="Times New Roman" w:hAnsi="Times New Roman" w:cs="Times New Roman"/>
          <w:i/>
          <w:sz w:val="24"/>
          <w:szCs w:val="24"/>
          <w:lang w:val="en-US"/>
        </w:rPr>
        <w:t>The social contract</w:t>
      </w:r>
      <w:r w:rsidRPr="00B34D9C">
        <w:rPr>
          <w:rFonts w:ascii="Times New Roman" w:eastAsia="Times New Roman" w:hAnsi="Times New Roman" w:cs="Times New Roman"/>
          <w:sz w:val="24"/>
          <w:szCs w:val="24"/>
          <w:lang w:val="en-US"/>
        </w:rPr>
        <w:t xml:space="preserve"> (G. D. H. Cole, Trans.).</w:t>
      </w:r>
    </w:p>
    <w:p w14:paraId="5A8B4E0D" w14:textId="77777777" w:rsidR="00EF4E75" w:rsidRDefault="00000000">
      <w:pPr>
        <w:widowControl w:val="0"/>
        <w:spacing w:line="360" w:lineRule="auto"/>
        <w:ind w:left="720" w:hanging="720"/>
        <w:jc w:val="both"/>
        <w:rPr>
          <w:rFonts w:ascii="Times New Roman" w:eastAsia="Times New Roman" w:hAnsi="Times New Roman" w:cs="Times New Roman"/>
          <w:color w:val="1155CC"/>
          <w:sz w:val="24"/>
          <w:szCs w:val="24"/>
          <w:u w:val="single"/>
        </w:rPr>
      </w:pPr>
      <w:r w:rsidRPr="00B34D9C">
        <w:rPr>
          <w:rFonts w:ascii="Times New Roman" w:eastAsia="Times New Roman" w:hAnsi="Times New Roman" w:cs="Times New Roman"/>
          <w:sz w:val="24"/>
          <w:szCs w:val="24"/>
          <w:lang w:val="en-US"/>
        </w:rPr>
        <w:t xml:space="preserve">S&amp;P Global Corporate Sustainability Assessment. (2024). </w:t>
      </w:r>
      <w:r w:rsidRPr="00B34D9C">
        <w:rPr>
          <w:rFonts w:ascii="Times New Roman" w:eastAsia="Times New Roman" w:hAnsi="Times New Roman" w:cs="Times New Roman"/>
          <w:i/>
          <w:sz w:val="24"/>
          <w:szCs w:val="24"/>
          <w:lang w:val="en-US"/>
        </w:rPr>
        <w:t>Women in leadership: What’s the holdup?</w:t>
      </w:r>
      <w:hyperlink r:id="rId61">
        <w:r w:rsidRPr="00B34D9C">
          <w:rPr>
            <w:rFonts w:ascii="Times New Roman" w:eastAsia="Times New Roman" w:hAnsi="Times New Roman" w:cs="Times New Roman"/>
            <w:sz w:val="24"/>
            <w:szCs w:val="24"/>
            <w:lang w:val="en-US"/>
          </w:rPr>
          <w:t xml:space="preserve"> </w:t>
        </w:r>
      </w:hyperlink>
      <w:hyperlink r:id="rId62">
        <w:r>
          <w:rPr>
            <w:rFonts w:ascii="Times New Roman" w:eastAsia="Times New Roman" w:hAnsi="Times New Roman" w:cs="Times New Roman"/>
            <w:color w:val="1155CC"/>
            <w:sz w:val="24"/>
            <w:szCs w:val="24"/>
            <w:u w:val="single"/>
          </w:rPr>
          <w:t>https://www.spglobal.com/esg/insights/featured/special-editorial/women-in-leadership-what-s-the-holdup</w:t>
        </w:r>
      </w:hyperlink>
    </w:p>
    <w:p w14:paraId="2D3E1D65" w14:textId="77777777" w:rsidR="00EF4E75" w:rsidRPr="00B34D9C" w:rsidRDefault="00000000">
      <w:pPr>
        <w:widowControl w:val="0"/>
        <w:spacing w:line="360" w:lineRule="auto"/>
        <w:ind w:left="720" w:hanging="720"/>
        <w:jc w:val="both"/>
        <w:rPr>
          <w:rFonts w:ascii="Times New Roman" w:eastAsia="Times New Roman" w:hAnsi="Times New Roman" w:cs="Times New Roman"/>
          <w:sz w:val="24"/>
          <w:szCs w:val="24"/>
          <w:lang w:val="en-US"/>
        </w:rPr>
      </w:pPr>
      <w:r w:rsidRPr="00B34D9C">
        <w:rPr>
          <w:rFonts w:ascii="Times New Roman" w:eastAsia="Times New Roman" w:hAnsi="Times New Roman" w:cs="Times New Roman"/>
          <w:sz w:val="24"/>
          <w:szCs w:val="24"/>
          <w:lang w:val="en-US"/>
        </w:rPr>
        <w:t xml:space="preserve">Schwab, K. (2021). </w:t>
      </w:r>
      <w:r w:rsidRPr="00B34D9C">
        <w:rPr>
          <w:rFonts w:ascii="Times New Roman" w:eastAsia="Times New Roman" w:hAnsi="Times New Roman" w:cs="Times New Roman"/>
          <w:i/>
          <w:sz w:val="24"/>
          <w:szCs w:val="24"/>
          <w:lang w:val="en-US"/>
        </w:rPr>
        <w:t>Stakeholder capitalism: A global economy that works for progress, people and planet</w:t>
      </w:r>
      <w:r w:rsidRPr="00B34D9C">
        <w:rPr>
          <w:rFonts w:ascii="Times New Roman" w:eastAsia="Times New Roman" w:hAnsi="Times New Roman" w:cs="Times New Roman"/>
          <w:sz w:val="24"/>
          <w:szCs w:val="24"/>
          <w:lang w:val="en-US"/>
        </w:rPr>
        <w:t>. Penguin Press.</w:t>
      </w:r>
    </w:p>
    <w:p w14:paraId="42FA68E8" w14:textId="77777777" w:rsidR="00EF4E75" w:rsidRPr="00B34D9C" w:rsidRDefault="00000000">
      <w:pPr>
        <w:widowControl w:val="0"/>
        <w:spacing w:line="360" w:lineRule="auto"/>
        <w:ind w:left="720" w:hanging="720"/>
        <w:jc w:val="both"/>
        <w:rPr>
          <w:rFonts w:ascii="Times New Roman" w:eastAsia="Times New Roman" w:hAnsi="Times New Roman" w:cs="Times New Roman"/>
          <w:sz w:val="24"/>
          <w:szCs w:val="24"/>
          <w:lang w:val="en-US"/>
        </w:rPr>
      </w:pPr>
      <w:r w:rsidRPr="00B34D9C">
        <w:rPr>
          <w:rFonts w:ascii="Times New Roman" w:eastAsia="Times New Roman" w:hAnsi="Times New Roman" w:cs="Times New Roman"/>
          <w:sz w:val="24"/>
          <w:szCs w:val="24"/>
          <w:lang w:val="en-US"/>
        </w:rPr>
        <w:t xml:space="preserve">Sen, A. (1999). </w:t>
      </w:r>
      <w:r w:rsidRPr="00B34D9C">
        <w:rPr>
          <w:rFonts w:ascii="Times New Roman" w:eastAsia="Times New Roman" w:hAnsi="Times New Roman" w:cs="Times New Roman"/>
          <w:i/>
          <w:sz w:val="24"/>
          <w:szCs w:val="24"/>
          <w:lang w:val="en-US"/>
        </w:rPr>
        <w:t>Development as freedom</w:t>
      </w:r>
      <w:r w:rsidRPr="00B34D9C">
        <w:rPr>
          <w:rFonts w:ascii="Times New Roman" w:eastAsia="Times New Roman" w:hAnsi="Times New Roman" w:cs="Times New Roman"/>
          <w:sz w:val="24"/>
          <w:szCs w:val="24"/>
          <w:lang w:val="en-US"/>
        </w:rPr>
        <w:t>. Oxford University Press.</w:t>
      </w:r>
    </w:p>
    <w:p w14:paraId="1B97757C" w14:textId="77777777" w:rsidR="00EF4E75" w:rsidRPr="00B34D9C" w:rsidRDefault="00000000">
      <w:pPr>
        <w:widowControl w:val="0"/>
        <w:spacing w:line="360" w:lineRule="auto"/>
        <w:ind w:left="720" w:hanging="72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rPr>
        <w:t xml:space="preserve">Sierra, M. (2023). </w:t>
      </w:r>
      <w:r>
        <w:rPr>
          <w:rFonts w:ascii="Times New Roman" w:eastAsia="Times New Roman" w:hAnsi="Times New Roman" w:cs="Times New Roman"/>
          <w:i/>
          <w:sz w:val="24"/>
          <w:szCs w:val="24"/>
        </w:rPr>
        <w:t xml:space="preserve">Gestión del conocimiento y sociedades: Desafíos legales de la gestión del conocimiento y sociedades del conocimiento frente a la responsabilidad social empresarial. Estudio de caso: Empresa </w:t>
      </w:r>
      <w:proofErr w:type="spellStart"/>
      <w:r>
        <w:rPr>
          <w:rFonts w:ascii="Times New Roman" w:eastAsia="Times New Roman" w:hAnsi="Times New Roman" w:cs="Times New Roman"/>
          <w:i/>
          <w:sz w:val="24"/>
          <w:szCs w:val="24"/>
        </w:rPr>
        <w:t>Renderixarte</w:t>
      </w:r>
      <w:proofErr w:type="spellEnd"/>
      <w:r>
        <w:rPr>
          <w:rFonts w:ascii="Times New Roman" w:eastAsia="Times New Roman" w:hAnsi="Times New Roman" w:cs="Times New Roman"/>
          <w:i/>
          <w:sz w:val="24"/>
          <w:szCs w:val="24"/>
        </w:rPr>
        <w:t xml:space="preserve"> S.A.S. Sincelejo, Sucre, Colombia, años 2023-2024</w:t>
      </w:r>
      <w:r>
        <w:rPr>
          <w:rFonts w:ascii="Times New Roman" w:eastAsia="Times New Roman" w:hAnsi="Times New Roman" w:cs="Times New Roman"/>
          <w:sz w:val="24"/>
          <w:szCs w:val="24"/>
        </w:rPr>
        <w:t xml:space="preserve">. </w:t>
      </w:r>
      <w:r w:rsidRPr="00B34D9C">
        <w:rPr>
          <w:rFonts w:ascii="Times New Roman" w:eastAsia="Times New Roman" w:hAnsi="Times New Roman" w:cs="Times New Roman"/>
          <w:sz w:val="24"/>
          <w:szCs w:val="24"/>
          <w:lang w:val="en-US"/>
        </w:rPr>
        <w:t>Corporación Universitaria del Caribe CECAR.</w:t>
      </w:r>
    </w:p>
    <w:p w14:paraId="1C82CA6D" w14:textId="77777777" w:rsidR="00EF4E75" w:rsidRPr="00B34D9C" w:rsidRDefault="00EF4E75">
      <w:pPr>
        <w:widowControl w:val="0"/>
        <w:spacing w:line="360" w:lineRule="auto"/>
        <w:ind w:left="720" w:hanging="720"/>
        <w:jc w:val="both"/>
        <w:rPr>
          <w:rFonts w:ascii="Times New Roman" w:eastAsia="Times New Roman" w:hAnsi="Times New Roman" w:cs="Times New Roman"/>
          <w:sz w:val="24"/>
          <w:szCs w:val="24"/>
          <w:lang w:val="en-US"/>
        </w:rPr>
      </w:pPr>
    </w:p>
    <w:p w14:paraId="609C69CC" w14:textId="77777777" w:rsidR="00EF4E75" w:rsidRPr="00B34D9C" w:rsidRDefault="00EF4E75">
      <w:pPr>
        <w:widowControl w:val="0"/>
        <w:spacing w:line="360" w:lineRule="auto"/>
        <w:ind w:left="720" w:hanging="720"/>
        <w:jc w:val="both"/>
        <w:rPr>
          <w:rFonts w:ascii="Times New Roman" w:eastAsia="Times New Roman" w:hAnsi="Times New Roman" w:cs="Times New Roman"/>
          <w:sz w:val="24"/>
          <w:szCs w:val="24"/>
          <w:lang w:val="en-US"/>
        </w:rPr>
      </w:pPr>
    </w:p>
    <w:p w14:paraId="6B93ABC5" w14:textId="77777777" w:rsidR="00EF4E75" w:rsidRPr="00B34D9C" w:rsidRDefault="00EF4E75">
      <w:pPr>
        <w:widowControl w:val="0"/>
        <w:spacing w:line="360" w:lineRule="auto"/>
        <w:ind w:left="720" w:hanging="720"/>
        <w:jc w:val="both"/>
        <w:rPr>
          <w:rFonts w:ascii="Times New Roman" w:eastAsia="Times New Roman" w:hAnsi="Times New Roman" w:cs="Times New Roman"/>
          <w:sz w:val="24"/>
          <w:szCs w:val="24"/>
          <w:lang w:val="en-US"/>
        </w:rPr>
      </w:pPr>
    </w:p>
    <w:p w14:paraId="1B319DA7" w14:textId="77777777" w:rsidR="00EF4E75" w:rsidRPr="00B34D9C" w:rsidRDefault="00EF4E75">
      <w:pPr>
        <w:widowControl w:val="0"/>
        <w:spacing w:line="360" w:lineRule="auto"/>
        <w:ind w:left="720" w:hanging="720"/>
        <w:jc w:val="both"/>
        <w:rPr>
          <w:rFonts w:ascii="Times New Roman" w:eastAsia="Times New Roman" w:hAnsi="Times New Roman" w:cs="Times New Roman"/>
          <w:sz w:val="24"/>
          <w:szCs w:val="24"/>
          <w:lang w:val="en-US"/>
        </w:rPr>
      </w:pPr>
    </w:p>
    <w:p w14:paraId="5979D786" w14:textId="77777777" w:rsidR="00EF4E75" w:rsidRPr="00B34D9C" w:rsidRDefault="00EF4E75">
      <w:pPr>
        <w:widowControl w:val="0"/>
        <w:spacing w:line="360" w:lineRule="auto"/>
        <w:ind w:left="720" w:hanging="720"/>
        <w:jc w:val="both"/>
        <w:rPr>
          <w:rFonts w:ascii="Times New Roman" w:eastAsia="Times New Roman" w:hAnsi="Times New Roman" w:cs="Times New Roman"/>
          <w:sz w:val="24"/>
          <w:szCs w:val="24"/>
          <w:lang w:val="en-US"/>
        </w:rPr>
      </w:pPr>
    </w:p>
    <w:p w14:paraId="324E10F0" w14:textId="77777777" w:rsidR="00EF4E75" w:rsidRPr="00B34D9C" w:rsidRDefault="00000000">
      <w:pPr>
        <w:widowControl w:val="0"/>
        <w:spacing w:line="360" w:lineRule="auto"/>
        <w:ind w:left="720" w:hanging="720"/>
        <w:jc w:val="both"/>
        <w:rPr>
          <w:rFonts w:ascii="Times New Roman" w:eastAsia="Times New Roman" w:hAnsi="Times New Roman" w:cs="Times New Roman"/>
          <w:sz w:val="24"/>
          <w:szCs w:val="24"/>
          <w:lang w:val="en-US"/>
        </w:rPr>
      </w:pPr>
      <w:r w:rsidRPr="00B34D9C">
        <w:rPr>
          <w:rFonts w:ascii="Times New Roman" w:eastAsia="Times New Roman" w:hAnsi="Times New Roman" w:cs="Times New Roman"/>
          <w:sz w:val="24"/>
          <w:szCs w:val="24"/>
          <w:lang w:val="en-US"/>
        </w:rPr>
        <w:t xml:space="preserve">Visser, W. (2011). </w:t>
      </w:r>
      <w:r w:rsidRPr="00B34D9C">
        <w:rPr>
          <w:rFonts w:ascii="Times New Roman" w:eastAsia="Times New Roman" w:hAnsi="Times New Roman" w:cs="Times New Roman"/>
          <w:i/>
          <w:sz w:val="24"/>
          <w:szCs w:val="24"/>
          <w:lang w:val="en-US"/>
        </w:rPr>
        <w:t>The age of responsibility: CSR 2.0 and the new DNA of business</w:t>
      </w:r>
      <w:r w:rsidRPr="00B34D9C">
        <w:rPr>
          <w:rFonts w:ascii="Times New Roman" w:eastAsia="Times New Roman" w:hAnsi="Times New Roman" w:cs="Times New Roman"/>
          <w:sz w:val="24"/>
          <w:szCs w:val="24"/>
          <w:lang w:val="en-US"/>
        </w:rPr>
        <w:t>. Wiley.</w:t>
      </w:r>
    </w:p>
    <w:p w14:paraId="77EC982F" w14:textId="77777777" w:rsidR="00EF4E75" w:rsidRDefault="00000000">
      <w:pPr>
        <w:widowControl w:val="0"/>
        <w:spacing w:line="360" w:lineRule="auto"/>
        <w:ind w:left="720" w:hanging="720"/>
        <w:jc w:val="both"/>
        <w:rPr>
          <w:rFonts w:ascii="Times New Roman" w:eastAsia="Times New Roman" w:hAnsi="Times New Roman" w:cs="Times New Roman"/>
          <w:color w:val="1155CC"/>
          <w:sz w:val="24"/>
          <w:szCs w:val="24"/>
          <w:u w:val="single"/>
        </w:rPr>
      </w:pPr>
      <w:r w:rsidRPr="00B34D9C">
        <w:rPr>
          <w:rFonts w:ascii="Times New Roman" w:eastAsia="Times New Roman" w:hAnsi="Times New Roman" w:cs="Times New Roman"/>
          <w:sz w:val="24"/>
          <w:szCs w:val="24"/>
          <w:lang w:val="en-US"/>
        </w:rPr>
        <w:t xml:space="preserve">Wood, D. J. (1991). Corporate social performance revisited. </w:t>
      </w:r>
      <w:r w:rsidRPr="00B34D9C">
        <w:rPr>
          <w:rFonts w:ascii="Times New Roman" w:eastAsia="Times New Roman" w:hAnsi="Times New Roman" w:cs="Times New Roman"/>
          <w:i/>
          <w:sz w:val="24"/>
          <w:szCs w:val="24"/>
          <w:lang w:val="en-US"/>
        </w:rPr>
        <w:t>Academy of Management Review, 16</w:t>
      </w:r>
      <w:r w:rsidRPr="00B34D9C">
        <w:rPr>
          <w:rFonts w:ascii="Times New Roman" w:eastAsia="Times New Roman" w:hAnsi="Times New Roman" w:cs="Times New Roman"/>
          <w:sz w:val="24"/>
          <w:szCs w:val="24"/>
          <w:lang w:val="en-US"/>
        </w:rPr>
        <w:t>(4), 691–718.</w:t>
      </w:r>
      <w:hyperlink r:id="rId63">
        <w:r w:rsidRPr="00B34D9C">
          <w:rPr>
            <w:rFonts w:ascii="Times New Roman" w:eastAsia="Times New Roman" w:hAnsi="Times New Roman" w:cs="Times New Roman"/>
            <w:sz w:val="24"/>
            <w:szCs w:val="24"/>
            <w:lang w:val="en-US"/>
          </w:rPr>
          <w:t xml:space="preserve"> </w:t>
        </w:r>
      </w:hyperlink>
      <w:hyperlink r:id="rId64">
        <w:r>
          <w:rPr>
            <w:rFonts w:ascii="Times New Roman" w:eastAsia="Times New Roman" w:hAnsi="Times New Roman" w:cs="Times New Roman"/>
            <w:color w:val="1155CC"/>
            <w:sz w:val="24"/>
            <w:szCs w:val="24"/>
            <w:u w:val="single"/>
          </w:rPr>
          <w:t>https://doi.org/10.5465/amr.1991.4279626</w:t>
        </w:r>
      </w:hyperlink>
    </w:p>
    <w:p w14:paraId="4A972A7A" w14:textId="77777777" w:rsidR="00EF4E75" w:rsidRDefault="00000000">
      <w:pPr>
        <w:widowControl w:val="0"/>
        <w:spacing w:line="360" w:lineRule="auto"/>
        <w:ind w:left="72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Woolf, V. (1929). </w:t>
      </w:r>
      <w:r>
        <w:rPr>
          <w:rFonts w:ascii="Times New Roman" w:eastAsia="Times New Roman" w:hAnsi="Times New Roman" w:cs="Times New Roman"/>
          <w:i/>
          <w:sz w:val="24"/>
          <w:szCs w:val="24"/>
        </w:rPr>
        <w:t>Un cuarto propio</w:t>
      </w:r>
      <w:r>
        <w:rPr>
          <w:rFonts w:ascii="Times New Roman" w:eastAsia="Times New Roman" w:hAnsi="Times New Roman" w:cs="Times New Roman"/>
          <w:sz w:val="24"/>
          <w:szCs w:val="24"/>
        </w:rPr>
        <w:t xml:space="preserve"> (Y. López, Trad.). Editorial Seix Barral. (Obra original publicada en 1929)</w:t>
      </w:r>
    </w:p>
    <w:p w14:paraId="24455746" w14:textId="77777777" w:rsidR="00EF4E75" w:rsidRDefault="00EF4E75">
      <w:pPr>
        <w:widowControl w:val="0"/>
        <w:spacing w:line="360" w:lineRule="auto"/>
        <w:ind w:left="720" w:hanging="720"/>
        <w:jc w:val="both"/>
        <w:rPr>
          <w:rFonts w:ascii="Times New Roman" w:eastAsia="Times New Roman" w:hAnsi="Times New Roman" w:cs="Times New Roman"/>
          <w:sz w:val="24"/>
          <w:szCs w:val="24"/>
        </w:rPr>
      </w:pPr>
    </w:p>
    <w:p w14:paraId="1331E0D0" w14:textId="77777777" w:rsidR="00EF4E75" w:rsidRDefault="00EF4E75">
      <w:pPr>
        <w:widowControl w:val="0"/>
        <w:spacing w:line="360" w:lineRule="auto"/>
        <w:ind w:left="720" w:hanging="720"/>
        <w:jc w:val="both"/>
        <w:rPr>
          <w:rFonts w:ascii="Times New Roman" w:eastAsia="Times New Roman" w:hAnsi="Times New Roman" w:cs="Times New Roman"/>
          <w:sz w:val="24"/>
          <w:szCs w:val="24"/>
        </w:rPr>
      </w:pPr>
    </w:p>
    <w:p w14:paraId="7B8A50DE" w14:textId="77777777" w:rsidR="00EF4E75" w:rsidRDefault="00EF4E75">
      <w:pPr>
        <w:spacing w:after="200" w:line="360" w:lineRule="auto"/>
        <w:rPr>
          <w:rFonts w:ascii="Times New Roman" w:eastAsia="Times New Roman" w:hAnsi="Times New Roman" w:cs="Times New Roman"/>
          <w:sz w:val="24"/>
          <w:szCs w:val="24"/>
        </w:rPr>
      </w:pPr>
    </w:p>
    <w:sectPr w:rsidR="00EF4E75">
      <w:pgSz w:w="12240" w:h="15840"/>
      <w:pgMar w:top="1701" w:right="1701" w:bottom="1701" w:left="1701" w:header="720" w:footer="720" w:gutter="0"/>
      <w:pgNumType w:start="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2" w:author="Heygui Tifany Araujo Zúñiga" w:date="2025-04-24T08:08:00Z" w:initials="">
    <w:p w14:paraId="7481DCFE" w14:textId="77777777" w:rsidR="00EF4E75" w:rsidRDefault="00000000">
      <w:pPr>
        <w:widowControl w:val="0"/>
        <w:pBdr>
          <w:top w:val="nil"/>
          <w:left w:val="nil"/>
          <w:bottom w:val="nil"/>
          <w:right w:val="nil"/>
          <w:between w:val="nil"/>
        </w:pBdr>
        <w:spacing w:line="240" w:lineRule="auto"/>
        <w:rPr>
          <w:color w:val="000000"/>
        </w:rPr>
      </w:pPr>
      <w:r>
        <w:rPr>
          <w:color w:val="000000"/>
        </w:rPr>
        <w:t>Realiza las referencias de estos instrumentos normativos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7481DCFE"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7481DCFE" w16cid:durableId="296BBE9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D9BC35" w14:textId="77777777" w:rsidR="00925C30" w:rsidRDefault="00925C30">
      <w:pPr>
        <w:spacing w:line="240" w:lineRule="auto"/>
      </w:pPr>
      <w:r>
        <w:separator/>
      </w:r>
    </w:p>
  </w:endnote>
  <w:endnote w:type="continuationSeparator" w:id="0">
    <w:p w14:paraId="4461D4DB" w14:textId="77777777" w:rsidR="00925C30" w:rsidRDefault="00925C3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1" w:fontKey="{4E5A9F7E-F320-445C-BE2B-FB9309A76D58}"/>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embedRegular r:id="rId2" w:fontKey="{B5FA3CE6-CD57-4D53-9ED8-B2DA8454EA20}"/>
    <w:embedBoldItalic r:id="rId3" w:fontKey="{2E58E061-6C2E-4C5C-B342-F71DFE2E9B35}"/>
  </w:font>
  <w:font w:name="Calibri">
    <w:panose1 w:val="020F0502020204030204"/>
    <w:charset w:val="00"/>
    <w:family w:val="swiss"/>
    <w:pitch w:val="variable"/>
    <w:sig w:usb0="E4002EFF" w:usb1="C200247B" w:usb2="00000009" w:usb3="00000000" w:csb0="000001FF" w:csb1="00000000"/>
    <w:embedRegular r:id="rId4" w:fontKey="{17EE750E-CA71-45B1-A85B-42D775E8604C}"/>
  </w:font>
  <w:font w:name="Cambria">
    <w:panose1 w:val="02040503050406030204"/>
    <w:charset w:val="00"/>
    <w:family w:val="roman"/>
    <w:pitch w:val="variable"/>
    <w:sig w:usb0="E00006FF" w:usb1="420024FF" w:usb2="02000000" w:usb3="00000000" w:csb0="0000019F" w:csb1="00000000"/>
    <w:embedRegular r:id="rId5" w:fontKey="{1B353989-3082-43C4-B60A-1CE838A978B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D84A1D" w14:textId="77777777" w:rsidR="00EF4E75" w:rsidRDefault="00000000">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PAGE</w:instrText>
    </w:r>
    <w:r>
      <w:rPr>
        <w:rFonts w:ascii="Times New Roman" w:eastAsia="Times New Roman" w:hAnsi="Times New Roman" w:cs="Times New Roman"/>
        <w:sz w:val="24"/>
        <w:szCs w:val="24"/>
      </w:rPr>
      <w:fldChar w:fldCharType="separate"/>
    </w:r>
    <w:r w:rsidR="00B34D9C">
      <w:rPr>
        <w:rFonts w:ascii="Times New Roman" w:eastAsia="Times New Roman" w:hAnsi="Times New Roman" w:cs="Times New Roman"/>
        <w:noProof/>
        <w:sz w:val="24"/>
        <w:szCs w:val="24"/>
      </w:rPr>
      <w:t>0</w:t>
    </w:r>
    <w:r>
      <w:rPr>
        <w:rFonts w:ascii="Times New Roman" w:eastAsia="Times New Roman" w:hAnsi="Times New Roman" w:cs="Times New Roman"/>
        <w:sz w:val="24"/>
        <w:szCs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9BD5DF" w14:textId="77777777" w:rsidR="00EF4E75" w:rsidRDefault="00EF4E7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4060827" w14:textId="77777777" w:rsidR="00925C30" w:rsidRDefault="00925C30">
      <w:pPr>
        <w:spacing w:line="240" w:lineRule="auto"/>
      </w:pPr>
      <w:r>
        <w:separator/>
      </w:r>
    </w:p>
  </w:footnote>
  <w:footnote w:type="continuationSeparator" w:id="0">
    <w:p w14:paraId="3E469543" w14:textId="77777777" w:rsidR="00925C30" w:rsidRDefault="00925C30">
      <w:pPr>
        <w:spacing w:line="240" w:lineRule="auto"/>
      </w:pPr>
      <w:r>
        <w:continuationSeparator/>
      </w:r>
    </w:p>
  </w:footnote>
  <w:footnote w:id="1">
    <w:p w14:paraId="632A7792" w14:textId="77777777" w:rsidR="00EF4E75" w:rsidRDefault="00000000">
      <w:pPr>
        <w:pBdr>
          <w:top w:val="nil"/>
          <w:left w:val="nil"/>
          <w:bottom w:val="nil"/>
          <w:right w:val="nil"/>
          <w:between w:val="nil"/>
        </w:pBdr>
        <w:spacing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sz w:val="20"/>
          <w:szCs w:val="20"/>
        </w:rPr>
        <w:t xml:space="preserve">Estudios de abogacía en la Universidad Cooperativa de Colombia, Especialista en Derechos Humanos de la Universidad del Magdalena. </w:t>
      </w:r>
    </w:p>
    <w:p w14:paraId="6F39F5BA" w14:textId="77777777" w:rsidR="00EF4E75" w:rsidRDefault="00000000">
      <w:pPr>
        <w:pBdr>
          <w:top w:val="nil"/>
          <w:left w:val="nil"/>
          <w:bottom w:val="nil"/>
          <w:right w:val="nil"/>
          <w:between w:val="nil"/>
        </w:pBdr>
        <w:spacing w:line="240" w:lineRule="auto"/>
        <w:jc w:val="both"/>
        <w:rPr>
          <w:rFonts w:ascii="Times New Roman" w:eastAsia="Times New Roman" w:hAnsi="Times New Roman" w:cs="Times New Roman"/>
          <w:sz w:val="20"/>
          <w:szCs w:val="20"/>
        </w:rPr>
      </w:pPr>
      <w:hyperlink r:id="rId1">
        <w:r>
          <w:rPr>
            <w:rFonts w:ascii="Times New Roman" w:eastAsia="Times New Roman" w:hAnsi="Times New Roman" w:cs="Times New Roman"/>
            <w:color w:val="1155CC"/>
            <w:sz w:val="20"/>
            <w:szCs w:val="20"/>
            <w:u w:val="single"/>
          </w:rPr>
          <w:t>yurelyscuellom@unimagdalena.edu.co</w:t>
        </w:r>
      </w:hyperlink>
      <w:r>
        <w:rPr>
          <w:rFonts w:ascii="Times New Roman" w:eastAsia="Times New Roman" w:hAnsi="Times New Roman" w:cs="Times New Roman"/>
          <w:sz w:val="20"/>
          <w:szCs w:val="20"/>
        </w:rPr>
        <w:t xml:space="preserve"> </w:t>
      </w:r>
    </w:p>
  </w:footnote>
  <w:footnote w:id="2">
    <w:p w14:paraId="1D94CAAC" w14:textId="77777777" w:rsidR="00EF4E75" w:rsidRDefault="00000000">
      <w:pPr>
        <w:spacing w:line="240" w:lineRule="auto"/>
        <w:rPr>
          <w:rFonts w:ascii="Times New Roman" w:eastAsia="Times New Roman" w:hAnsi="Times New Roman" w:cs="Times New Roman"/>
          <w:sz w:val="20"/>
          <w:szCs w:val="20"/>
        </w:rPr>
      </w:pPr>
      <w:r>
        <w:rPr>
          <w:vertAlign w:val="superscript"/>
        </w:rPr>
        <w:footnoteRef/>
      </w:r>
      <w:r>
        <w:rPr>
          <w:sz w:val="20"/>
          <w:szCs w:val="20"/>
        </w:rPr>
        <w:t xml:space="preserve"> </w:t>
      </w:r>
      <w:r>
        <w:rPr>
          <w:rFonts w:ascii="Times New Roman" w:eastAsia="Times New Roman" w:hAnsi="Times New Roman" w:cs="Times New Roman"/>
          <w:sz w:val="20"/>
          <w:szCs w:val="20"/>
        </w:rPr>
        <w:t xml:space="preserve">Los </w:t>
      </w:r>
      <w:proofErr w:type="spellStart"/>
      <w:r>
        <w:rPr>
          <w:rFonts w:ascii="Times New Roman" w:eastAsia="Times New Roman" w:hAnsi="Times New Roman" w:cs="Times New Roman"/>
          <w:sz w:val="20"/>
          <w:szCs w:val="20"/>
        </w:rPr>
        <w:t>clusters</w:t>
      </w:r>
      <w:proofErr w:type="spellEnd"/>
      <w:r>
        <w:rPr>
          <w:rFonts w:ascii="Times New Roman" w:eastAsia="Times New Roman" w:hAnsi="Times New Roman" w:cs="Times New Roman"/>
          <w:sz w:val="20"/>
          <w:szCs w:val="20"/>
        </w:rPr>
        <w:t xml:space="preserve"> de apoyo son agrupaciones de empresas e instituciones que se unen para realizar proyectos conjuntos y alcanzar objetivos en común.</w:t>
      </w:r>
    </w:p>
  </w:footnote>
  <w:footnote w:id="3">
    <w:p w14:paraId="702FE3C0" w14:textId="77777777" w:rsidR="00EF4E75" w:rsidRDefault="00000000">
      <w:pPr>
        <w:spacing w:line="240" w:lineRule="auto"/>
        <w:rPr>
          <w:rFonts w:ascii="Times New Roman" w:eastAsia="Times New Roman" w:hAnsi="Times New Roman" w:cs="Times New Roman"/>
          <w:sz w:val="20"/>
          <w:szCs w:val="20"/>
        </w:rPr>
      </w:pPr>
      <w:r>
        <w:rPr>
          <w:vertAlign w:val="superscript"/>
        </w:rPr>
        <w:footnoteRef/>
      </w:r>
      <w:r>
        <w:rPr>
          <w:sz w:val="20"/>
          <w:szCs w:val="20"/>
        </w:rPr>
        <w:t xml:space="preserve"> </w:t>
      </w:r>
      <w:r>
        <w:rPr>
          <w:rFonts w:ascii="Times New Roman" w:eastAsia="Times New Roman" w:hAnsi="Times New Roman" w:cs="Times New Roman"/>
          <w:sz w:val="20"/>
          <w:szCs w:val="20"/>
        </w:rPr>
        <w:t xml:space="preserve">De acuerdo con las ocho dimensiones evaluadas por el sello equipares que son: reclutamiento, remuneración, desarrollo profesional, capacitación, conciliación de la vida laboral y personal, ambiente de trabajo, acoso laboral y sexual, y comunicación no sexista.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2EF260" w14:textId="77777777" w:rsidR="00EF4E75" w:rsidRDefault="00000000">
    <w:pPr>
      <w:spacing w:after="200" w:line="240" w:lineRule="auto"/>
      <w:jc w:val="center"/>
      <w:rPr>
        <w:rFonts w:ascii="Arial Narrow" w:eastAsia="Arial Narrow" w:hAnsi="Arial Narrow" w:cs="Arial Narrow"/>
        <w:b/>
        <w:i/>
        <w:sz w:val="20"/>
        <w:szCs w:val="20"/>
      </w:rPr>
    </w:pPr>
    <w:r>
      <w:rPr>
        <w:rFonts w:ascii="Arial Narrow" w:eastAsia="Arial Narrow" w:hAnsi="Arial Narrow" w:cs="Arial Narrow"/>
        <w:b/>
        <w:i/>
        <w:noProof/>
        <w:sz w:val="20"/>
        <w:szCs w:val="20"/>
      </w:rPr>
      <w:drawing>
        <wp:inline distT="0" distB="0" distL="0" distR="0" wp14:anchorId="5F0283BD" wp14:editId="7E84D926">
          <wp:extent cx="1123457" cy="1063748"/>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123457" cy="1063748"/>
                  </a:xfrm>
                  <a:prstGeom prst="rect">
                    <a:avLst/>
                  </a:prstGeom>
                  <a:ln/>
                </pic:spPr>
              </pic:pic>
            </a:graphicData>
          </a:graphic>
        </wp:inline>
      </w:drawing>
    </w:r>
  </w:p>
  <w:p w14:paraId="121518A1" w14:textId="77777777" w:rsidR="00EF4E75" w:rsidRDefault="00000000">
    <w:pPr>
      <w:spacing w:line="240" w:lineRule="auto"/>
      <w:jc w:val="center"/>
    </w:pPr>
    <w:r>
      <w:rPr>
        <w:rFonts w:ascii="Times New Roman" w:eastAsia="Times New Roman" w:hAnsi="Times New Roman" w:cs="Times New Roman"/>
        <w:b/>
        <w:i/>
        <w:sz w:val="24"/>
        <w:szCs w:val="24"/>
      </w:rPr>
      <w:t>Maestría en Promoción y Protección de los Derechos Humanos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6E61BA" w14:textId="77777777" w:rsidR="00EF4E75" w:rsidRDefault="00000000">
    <w:pPr>
      <w:spacing w:after="200" w:line="240" w:lineRule="auto"/>
      <w:jc w:val="center"/>
      <w:rPr>
        <w:rFonts w:ascii="Arial Narrow" w:eastAsia="Arial Narrow" w:hAnsi="Arial Narrow" w:cs="Arial Narrow"/>
        <w:b/>
        <w:i/>
        <w:sz w:val="20"/>
        <w:szCs w:val="20"/>
      </w:rPr>
    </w:pPr>
    <w:r>
      <w:rPr>
        <w:rFonts w:ascii="Arial Narrow" w:eastAsia="Arial Narrow" w:hAnsi="Arial Narrow" w:cs="Arial Narrow"/>
        <w:b/>
        <w:i/>
        <w:noProof/>
        <w:sz w:val="20"/>
        <w:szCs w:val="20"/>
      </w:rPr>
      <w:drawing>
        <wp:inline distT="0" distB="0" distL="0" distR="0" wp14:anchorId="498B91CC" wp14:editId="0A6516DB">
          <wp:extent cx="1123457" cy="1063748"/>
          <wp:effectExtent l="0" t="0" r="0" b="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123457" cy="1063748"/>
                  </a:xfrm>
                  <a:prstGeom prst="rect">
                    <a:avLst/>
                  </a:prstGeom>
                  <a:ln/>
                </pic:spPr>
              </pic:pic>
            </a:graphicData>
          </a:graphic>
        </wp:inline>
      </w:drawing>
    </w:r>
  </w:p>
  <w:p w14:paraId="3FA80E03" w14:textId="77777777" w:rsidR="00EF4E75" w:rsidRDefault="00000000">
    <w:pPr>
      <w:spacing w:line="240" w:lineRule="auto"/>
      <w:jc w:val="center"/>
    </w:pPr>
    <w:r>
      <w:rPr>
        <w:rFonts w:ascii="Times New Roman" w:eastAsia="Times New Roman" w:hAnsi="Times New Roman" w:cs="Times New Roman"/>
        <w:b/>
        <w:i/>
        <w:sz w:val="24"/>
        <w:szCs w:val="24"/>
      </w:rPr>
      <w:t>Maestría en Promoción y Protección de los Derechos Humanos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AE6F07"/>
    <w:multiLevelType w:val="multilevel"/>
    <w:tmpl w:val="7B06F5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23F2833"/>
    <w:multiLevelType w:val="multilevel"/>
    <w:tmpl w:val="C2326C86"/>
    <w:lvl w:ilvl="0">
      <w:start w:val="1"/>
      <w:numFmt w:val="upperRoman"/>
      <w:lvlText w:val="%1."/>
      <w:lvlJc w:val="left"/>
      <w:pPr>
        <w:ind w:left="1080" w:hanging="720"/>
      </w:pPr>
      <w:rPr>
        <w:b/>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EE34D8F"/>
    <w:multiLevelType w:val="multilevel"/>
    <w:tmpl w:val="6504E0A0"/>
    <w:lvl w:ilvl="0">
      <w:start w:val="1"/>
      <w:numFmt w:val="upperLetter"/>
      <w:lvlText w:val="%1."/>
      <w:lvlJc w:val="left"/>
      <w:pPr>
        <w:ind w:left="720" w:hanging="360"/>
      </w:pPr>
      <w:rPr>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3F5B4E98"/>
    <w:multiLevelType w:val="multilevel"/>
    <w:tmpl w:val="CF8CDF8C"/>
    <w:lvl w:ilvl="0">
      <w:start w:val="1"/>
      <w:numFmt w:val="upp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88B09F7"/>
    <w:multiLevelType w:val="multilevel"/>
    <w:tmpl w:val="DF4AB658"/>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5F0626C1"/>
    <w:multiLevelType w:val="multilevel"/>
    <w:tmpl w:val="CDCC9514"/>
    <w:lvl w:ilvl="0">
      <w:start w:val="1"/>
      <w:numFmt w:val="upperLetter"/>
      <w:lvlText w:val="%1."/>
      <w:lvlJc w:val="left"/>
      <w:pPr>
        <w:ind w:left="720" w:hanging="360"/>
      </w:pPr>
      <w:rPr>
        <w:rFonts w:ascii="Times New Roman" w:eastAsia="Times New Roman" w:hAnsi="Times New Roman" w:cs="Times New Roman"/>
        <w:b/>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78B9249B"/>
    <w:multiLevelType w:val="multilevel"/>
    <w:tmpl w:val="F50A0BC8"/>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num w:numId="1" w16cid:durableId="2101295393">
    <w:abstractNumId w:val="0"/>
  </w:num>
  <w:num w:numId="2" w16cid:durableId="1327250487">
    <w:abstractNumId w:val="2"/>
  </w:num>
  <w:num w:numId="3" w16cid:durableId="1382286813">
    <w:abstractNumId w:val="4"/>
  </w:num>
  <w:num w:numId="4" w16cid:durableId="723680352">
    <w:abstractNumId w:val="3"/>
  </w:num>
  <w:num w:numId="5" w16cid:durableId="1340615638">
    <w:abstractNumId w:val="6"/>
  </w:num>
  <w:num w:numId="6" w16cid:durableId="1445879910">
    <w:abstractNumId w:val="1"/>
  </w:num>
  <w:num w:numId="7" w16cid:durableId="16351368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4E75"/>
    <w:rsid w:val="00925C30"/>
    <w:rsid w:val="00B34D9C"/>
    <w:rsid w:val="00EF4E7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D0C50"/>
  <w15:docId w15:val="{2042685F-06AF-477A-AEC6-4A83C1C10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s" w:eastAsia="es-CO"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26" Type="http://schemas.openxmlformats.org/officeDocument/2006/relationships/hyperlink" Target="https://www.funcionpublica.gov.co/eva/gestornormativo/norma.php?i=41102" TargetMode="External"/><Relationship Id="rId21" Type="http://schemas.openxmlformats.org/officeDocument/2006/relationships/hyperlink" Target="http://herramientas.camaramedellin.com.co/Inicio/Buenaspracticasempresariales/BibliotecaGerenciaEstrategica/QueeslaResponsabilidadSocialEmpresarial.aspx" TargetMode="External"/><Relationship Id="rId34" Type="http://schemas.openxmlformats.org/officeDocument/2006/relationships/hyperlink" Target="https://www.infobae.com/america/inhouse/2024/03/08/el-papel-fundamental-de-las-mujeres-en-la-transformacion-del-panorama-empresarial/" TargetMode="External"/><Relationship Id="rId42" Type="http://schemas.openxmlformats.org/officeDocument/2006/relationships/hyperlink" Target="https://doi.org/10.22201/fcpys.2448492xe.2020.240.76627" TargetMode="External"/><Relationship Id="rId47" Type="http://schemas.openxmlformats.org/officeDocument/2006/relationships/hyperlink" Target="https://www.un.org/sustainabledevelopment/es/objetivos-de-desarrollo-sostenible/" TargetMode="External"/><Relationship Id="rId50" Type="http://schemas.openxmlformats.org/officeDocument/2006/relationships/hyperlink" Target="https://gruponutresa.com/en-nutresa-trabajamos-por-impulsar-la-equidad-de-genero-y-el-liderazgo-femenino-en-las-novaempresarias/13891/" TargetMode="External"/><Relationship Id="rId55" Type="http://schemas.openxmlformats.org/officeDocument/2006/relationships/hyperlink" Target="https://www.ilo.org" TargetMode="External"/><Relationship Id="rId63" Type="http://schemas.openxmlformats.org/officeDocument/2006/relationships/hyperlink" Target="https://doi.org/10.5465/amr.1991.4279626" TargetMode="Externa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yperlink" Target="https://www.andi.com.co/Home/Noticia/15915-" TargetMode="External"/><Relationship Id="rId29" Type="http://schemas.openxmlformats.org/officeDocument/2006/relationships/hyperlink" Target="https://forbes.co/2023/06/21/diversidad-equidad-e-inclusion/listado-las-12-empresas-que-son-lideres-en-diversidad-equidad-e-inclusion-en-colombia" TargetMode="External"/><Relationship Id="rId11" Type="http://schemas.microsoft.com/office/2016/09/relationships/commentsIds" Target="commentsIds.xml"/><Relationship Id="rId24" Type="http://schemas.openxmlformats.org/officeDocument/2006/relationships/hyperlink" Target="https://www.corteconstitucional.gov.co/relatoria/2017/C-115-17.htm" TargetMode="External"/><Relationship Id="rId32" Type="http://schemas.openxmlformats.org/officeDocument/2006/relationships/hyperlink" Target="https://www.nytimes.com/1970/09/13/archives/the-social-responsibility-of-business-is-to-increase-its-profits.html" TargetMode="External"/><Relationship Id="rId37" Type="http://schemas.openxmlformats.org/officeDocument/2006/relationships/hyperlink" Target="https://www.funcionpublica.gov.co/eva/gestornormativo/norma.php?i=44306" TargetMode="External"/><Relationship Id="rId40" Type="http://schemas.openxmlformats.org/officeDocument/2006/relationships/hyperlink" Target="http://riul.unanleon.edu.ni:8080/jspui/bitstream/123456789/7263/1/242478.pdf" TargetMode="External"/><Relationship Id="rId45" Type="http://schemas.openxmlformats.org/officeDocument/2006/relationships/hyperlink" Target="https://sdgs.un.org/2030agenda" TargetMode="External"/><Relationship Id="rId53" Type="http://schemas.openxmlformats.org/officeDocument/2006/relationships/hyperlink" Target="https://www.ilo.org" TargetMode="External"/><Relationship Id="rId58" Type="http://schemas.openxmlformats.org/officeDocument/2006/relationships/hyperlink" Target="https://www.portafolio.co/economia/tenaristubocaribe-es-reconocida-como-un-modelo-de-equidad-laboral-516637" TargetMode="External"/><Relationship Id="rId66"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hyperlink" Target="https://www.spglobal.com/esg/insights/featured/special-editorial/women-in-leadership-what-s-the-holdup" TargetMode="External"/><Relationship Id="rId19" Type="http://schemas.openxmlformats.org/officeDocument/2006/relationships/hyperlink" Target="https://www.asocajas.org.co/comfamiliar-huila-pionera-en-igualdad-y-equidad-de-genero/" TargetMode="External"/><Relationship Id="rId14" Type="http://schemas.openxmlformats.org/officeDocument/2006/relationships/header" Target="header2.xml"/><Relationship Id="rId22" Type="http://schemas.openxmlformats.org/officeDocument/2006/relationships/hyperlink" Target="https://doi.org/10.1016/0007-6813(91)90005-G" TargetMode="External"/><Relationship Id="rId27" Type="http://schemas.openxmlformats.org/officeDocument/2006/relationships/hyperlink" Target="https://forbescentroamerica.com/2020/09/15/sanofi-apuesta-a-la-equidad-de-genero" TargetMode="External"/><Relationship Id="rId30" Type="http://schemas.openxmlformats.org/officeDocument/2006/relationships/hyperlink" Target="https://forbes.co/2023/06/21/diversidad-equidad-e-inclusion/listado-las-12-empresas-que-son-lideres-en-diversidad-equidad-e-inclusion-en-colombia" TargetMode="External"/><Relationship Id="rId35" Type="http://schemas.openxmlformats.org/officeDocument/2006/relationships/hyperlink" Target="https://www.academia.edu/36161731/Marcela_Lagarde_Los_cautiverios_de_las_mujeres_Madresposas_monjas_putas_presas_y_locas_pdf" TargetMode="External"/><Relationship Id="rId43" Type="http://schemas.openxmlformats.org/officeDocument/2006/relationships/hyperlink" Target="https://www.ohchr.org/es/instruments-mechanisms/instruments/convention-elimination-all-forms-discrimination-against-women" TargetMode="External"/><Relationship Id="rId48" Type="http://schemas.openxmlformats.org/officeDocument/2006/relationships/hyperlink" Target="https://www.un.org/sustainabledevelopment/es/objetivos-de-desarrollo-sostenible/" TargetMode="External"/><Relationship Id="rId56" Type="http://schemas.openxmlformats.org/officeDocument/2006/relationships/hyperlink" Target="https://www.ilo.org" TargetMode="External"/><Relationship Id="rId64" Type="http://schemas.openxmlformats.org/officeDocument/2006/relationships/hyperlink" Target="https://doi.org/10.5465/amr.1991.4279626" TargetMode="External"/><Relationship Id="rId8" Type="http://schemas.openxmlformats.org/officeDocument/2006/relationships/image" Target="media/image2.png"/><Relationship Id="rId51" Type="http://schemas.openxmlformats.org/officeDocument/2006/relationships/hyperlink" Target="https://www.unwomen.org/es/what-we-do" TargetMode="External"/><Relationship Id="rId3"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https://www.andi.com.co/Home/Noticia/15915-" TargetMode="External"/><Relationship Id="rId25" Type="http://schemas.openxmlformats.org/officeDocument/2006/relationships/hyperlink" Target="https://www.funcionpublica.gov.co/eva/gestornormativo/norma.php?i=41102" TargetMode="External"/><Relationship Id="rId33" Type="http://schemas.openxmlformats.org/officeDocument/2006/relationships/hyperlink" Target="https://www.infobae.com/america/inhouse/2024/03/08/el-papel-fundamental-de-las-mujeres-en-la-transformacion-del-panorama-empresarial/" TargetMode="External"/><Relationship Id="rId38" Type="http://schemas.openxmlformats.org/officeDocument/2006/relationships/hyperlink" Target="https://www.funcionpublica.gov.co/eva/gestornormativo/norma.php?i=44306" TargetMode="External"/><Relationship Id="rId46" Type="http://schemas.openxmlformats.org/officeDocument/2006/relationships/hyperlink" Target="https://sdgs.un.org/2030agenda" TargetMode="External"/><Relationship Id="rId59" Type="http://schemas.openxmlformats.org/officeDocument/2006/relationships/hyperlink" Target="https://hbr.org/2011/01/the-big-idea-creating-shared-value" TargetMode="External"/><Relationship Id="rId20" Type="http://schemas.openxmlformats.org/officeDocument/2006/relationships/hyperlink" Target="http://herramientas.camaramedellin.com.co/Inicio/Buenaspracticasempresariales/BibliotecaGerenciaEstrategica/QueeslaResponsabilidadSocialEmpresarial.aspx" TargetMode="External"/><Relationship Id="rId41" Type="http://schemas.openxmlformats.org/officeDocument/2006/relationships/hyperlink" Target="https://doi.org/10.22201/fcpys.2448492xe.2020.240.76627" TargetMode="External"/><Relationship Id="rId54" Type="http://schemas.openxmlformats.org/officeDocument/2006/relationships/hyperlink" Target="https://www.ilo.org" TargetMode="External"/><Relationship Id="rId62" Type="http://schemas.openxmlformats.org/officeDocument/2006/relationships/hyperlink" Target="https://www.spglobal.com/esg/insights/featured/special-editorial/women-in-leadership-what-s-the-holdup"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footer" Target="footer2.xml"/><Relationship Id="rId23" Type="http://schemas.openxmlformats.org/officeDocument/2006/relationships/hyperlink" Target="https://doi.org/10.1016/0007-6813(91)90005-G" TargetMode="External"/><Relationship Id="rId28" Type="http://schemas.openxmlformats.org/officeDocument/2006/relationships/hyperlink" Target="https://forbescentroamerica.com/2020/09/15/sanofi-apuesta-a-la-equidad-de-genero" TargetMode="External"/><Relationship Id="rId36" Type="http://schemas.openxmlformats.org/officeDocument/2006/relationships/hyperlink" Target="https://www.academia.edu/36161731/Marcela_Lagarde_Los_cautiverios_de_las_mujeres_Madresposas_monjas_putas_presas_y_locas_pdf" TargetMode="External"/><Relationship Id="rId49" Type="http://schemas.openxmlformats.org/officeDocument/2006/relationships/hyperlink" Target="https://gruponutresa.com/en-nutresa-trabajamos-por-impulsar-la-equidad-de-genero-y-el-liderazgo-femenino-en-las-novaempresarias/13891/" TargetMode="External"/><Relationship Id="rId57" Type="http://schemas.openxmlformats.org/officeDocument/2006/relationships/hyperlink" Target="https://www.portafolio.co/economia/tenaristubocaribe-es-reconocida-como-un-modelo-de-equidad-laboral-516637" TargetMode="External"/><Relationship Id="rId10" Type="http://schemas.microsoft.com/office/2011/relationships/commentsExtended" Target="commentsExtended.xml"/><Relationship Id="rId31" Type="http://schemas.openxmlformats.org/officeDocument/2006/relationships/hyperlink" Target="https://www.nytimes.com/1970/09/13/archives/the-social-responsibility-of-business-is-to-increase-its-profits.html" TargetMode="External"/><Relationship Id="rId44" Type="http://schemas.openxmlformats.org/officeDocument/2006/relationships/hyperlink" Target="https://www.ohchr.org/es/instruments-mechanisms/instruments/convention-elimination-all-forms-discrimination-against-women" TargetMode="External"/><Relationship Id="rId52" Type="http://schemas.openxmlformats.org/officeDocument/2006/relationships/hyperlink" Target="https://www.unwomen.org/es/what-we-do" TargetMode="External"/><Relationship Id="rId60" Type="http://schemas.openxmlformats.org/officeDocument/2006/relationships/hyperlink" Target="https://hbr.org/2011/01/the-big-idea-creating-shared-value" TargetMode="External"/><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omments" Target="comments.xml"/><Relationship Id="rId13" Type="http://schemas.openxmlformats.org/officeDocument/2006/relationships/footer" Target="footer1.xml"/><Relationship Id="rId18" Type="http://schemas.openxmlformats.org/officeDocument/2006/relationships/hyperlink" Target="https://www.asocajas.org.co/comfamiliar-huila-pionera-en-igualdad-y-equidad-de-genero/" TargetMode="External"/><Relationship Id="rId39" Type="http://schemas.openxmlformats.org/officeDocument/2006/relationships/hyperlink" Target="http://riul.unanleon.edu.ni:8080/jspui/bitstream/123456789/7263/1/242478.pdf"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notes.xml.rels><?xml version="1.0" encoding="UTF-8" standalone="yes"?>
<Relationships xmlns="http://schemas.openxmlformats.org/package/2006/relationships"><Relationship Id="rId1" Type="http://schemas.openxmlformats.org/officeDocument/2006/relationships/hyperlink" Target="mailto:yurelyscuellom@unimagdalena.edu.c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34</Pages>
  <Words>9972</Words>
  <Characters>54847</Characters>
  <Application>Microsoft Office Word</Application>
  <DocSecurity>0</DocSecurity>
  <Lines>457</Lines>
  <Paragraphs>129</Paragraphs>
  <ScaleCrop>false</ScaleCrop>
  <Company/>
  <LinksUpToDate>false</LinksUpToDate>
  <CharactersWithSpaces>64690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 Cuello</dc:creator>
  <cp:lastModifiedBy>Yu Cuello</cp:lastModifiedBy>
  <cp:revision>2</cp:revision>
  <dcterms:created xsi:type="dcterms:W3CDTF">2025-05-07T20:47:00Z</dcterms:created>
  <dcterms:modified xsi:type="dcterms:W3CDTF">2025-05-07T20:47:00Z</dcterms:modified>
</cp:coreProperties>
</file>